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2"/>
        <w:jc w:val="center"/>
        <w:spacing w:line="240" w:lineRule="auto"/>
        <w:rPr>
          <w:b/>
          <w:bCs/>
          <w:caps/>
          <w:sz w:val="32"/>
          <w:szCs w:val="32"/>
        </w:rPr>
      </w:pPr>
      <w:r>
        <w:rPr>
          <w:b/>
          <w:caps/>
          <w:sz w:val="32"/>
          <w:szCs w:val="36"/>
        </w:rPr>
      </w:r>
      <w:r>
        <w:rPr>
          <w:b/>
          <w:caps/>
          <w:szCs w:val="28"/>
        </w:rPr>
      </w:r>
      <w:r>
        <w:rPr>
          <w:b/>
          <w:bCs/>
          <w:caps/>
          <w:sz w:val="32"/>
          <w:szCs w:val="32"/>
        </w:rPr>
      </w:r>
    </w:p>
    <w:p>
      <w:pPr>
        <w:pStyle w:val="1032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2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города Перми </w:t>
      </w:r>
      <w:r>
        <w:rPr>
          <w:b/>
          <w:caps/>
          <w:color w:val="auto"/>
          <w:sz w:val="32"/>
          <w:szCs w:val="32"/>
        </w:rPr>
        <w:t xml:space="preserve">на </w:t>
      </w:r>
      <w:r>
        <w:rPr>
          <w:b/>
          <w:caps/>
          <w:color w:val="auto"/>
          <w:sz w:val="32"/>
          <w:szCs w:val="32"/>
        </w:rPr>
        <w:t xml:space="preserve">1 </w:t>
      </w:r>
      <w:r>
        <w:rPr>
          <w:b/>
          <w:caps/>
          <w:color w:val="auto"/>
          <w:sz w:val="32"/>
          <w:szCs w:val="32"/>
        </w:rPr>
        <w:t xml:space="preserve">сентября </w:t>
      </w:r>
      <w:r>
        <w:rPr>
          <w:b/>
          <w:caps/>
          <w:color w:val="auto"/>
          <w:sz w:val="32"/>
          <w:szCs w:val="32"/>
        </w:rPr>
        <w:t xml:space="preserve">202</w:t>
      </w:r>
      <w:r>
        <w:rPr>
          <w:b/>
          <w:caps/>
          <w:color w:val="auto"/>
          <w:sz w:val="32"/>
          <w:szCs w:val="32"/>
        </w:rPr>
        <w:t xml:space="preserve">4</w:t>
      </w:r>
      <w:r>
        <w:rPr>
          <w:b/>
          <w:caps/>
          <w:color w:val="auto"/>
          <w:sz w:val="32"/>
          <w:szCs w:val="32"/>
        </w:rPr>
        <w:t xml:space="preserve"> года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2"/>
        <w:jc w:val="center"/>
        <w:spacing w:line="240" w:lineRule="auto"/>
        <w:rPr>
          <w:b/>
          <w:caps/>
          <w:color w:val="auto"/>
          <w:sz w:val="16"/>
          <w:szCs w:val="16"/>
        </w:rPr>
      </w:pP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</w:p>
    <w:p>
      <w:pPr>
        <w:pStyle w:val="1032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пояснительная записка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2"/>
        <w:ind w:firstLine="567"/>
        <w:spacing w:line="240" w:lineRule="auto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</w:r>
      <w:r>
        <w:rPr>
          <w:color w:val="auto"/>
          <w:sz w:val="20"/>
          <w:szCs w:val="28"/>
        </w:rPr>
      </w:r>
      <w:r>
        <w:rPr>
          <w:color w:val="auto"/>
          <w:sz w:val="20"/>
          <w:szCs w:val="28"/>
        </w:rPr>
      </w:r>
    </w:p>
    <w:p>
      <w:pPr>
        <w:pStyle w:val="1032"/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auto"/>
          <w:sz w:val="28"/>
          <w:szCs w:val="28"/>
        </w:rPr>
        <w:t xml:space="preserve">сентября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по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оперативным данным характеризуется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следующими показателями: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ind w:firstLine="567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1032"/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доходам </w:t>
      </w:r>
      <w:r>
        <w:rPr>
          <w:color w:val="auto"/>
          <w:sz w:val="28"/>
          <w:szCs w:val="28"/>
        </w:rPr>
        <w:t xml:space="preserve">- 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3</w:t>
      </w:r>
      <w:r>
        <w:rPr>
          <w:b/>
          <w:bCs/>
          <w:color w:val="auto"/>
          <w:sz w:val="28"/>
          <w:szCs w:val="28"/>
        </w:rPr>
        <w:t xml:space="preserve">6 679 839,7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b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ли </w:t>
      </w:r>
      <w:r>
        <w:rPr>
          <w:b/>
          <w:color w:val="auto"/>
          <w:sz w:val="28"/>
          <w:szCs w:val="28"/>
        </w:rPr>
        <w:t xml:space="preserve">100,6</w:t>
      </w:r>
      <w:r>
        <w:rPr>
          <w:b/>
          <w:color w:val="auto"/>
          <w:sz w:val="28"/>
          <w:szCs w:val="28"/>
        </w:rPr>
        <w:t xml:space="preserve"> % </w:t>
      </w:r>
      <w:r>
        <w:rPr>
          <w:color w:val="auto"/>
          <w:sz w:val="28"/>
          <w:szCs w:val="28"/>
        </w:rPr>
        <w:t xml:space="preserve">от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января-августа 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2024 года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36 443 275,6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63,4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уточненного годового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57 843 720,1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 За аналогичный период прошлого года поступления доходов </w:t>
      </w:r>
      <w:r>
        <w:rPr>
          <w:color w:val="auto"/>
          <w:sz w:val="28"/>
          <w:szCs w:val="28"/>
        </w:rPr>
        <w:t xml:space="preserve">составляли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30 807 186,2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., или </w:t>
      </w:r>
      <w:r>
        <w:rPr>
          <w:b/>
          <w:color w:val="auto"/>
          <w:sz w:val="28"/>
          <w:szCs w:val="28"/>
        </w:rPr>
        <w:t xml:space="preserve">100,6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января-августа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2023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color w:val="auto"/>
          <w:sz w:val="28"/>
          <w:szCs w:val="28"/>
        </w:rPr>
        <w:t xml:space="preserve">(в сопоставимых условиях с 2024 годом).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ind w:firstLine="567"/>
        <w:spacing w:line="240" w:lineRule="auto"/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</w:p>
    <w:p>
      <w:pPr>
        <w:pStyle w:val="1032"/>
        <w:ind w:firstLine="567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Анализ поступления доходов бюджета за </w:t>
      </w:r>
      <w:r>
        <w:rPr>
          <w:color w:val="auto"/>
          <w:sz w:val="28"/>
          <w:szCs w:val="28"/>
        </w:rPr>
        <w:t xml:space="preserve">январь-август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023 и 2024 годов приведен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следующей таблице: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1032"/>
        <w:ind w:left="8508" w:firstLine="709"/>
        <w:spacing w:line="240" w:lineRule="auto"/>
        <w:rPr>
          <w:color w:val="auto"/>
        </w:rPr>
      </w:pPr>
      <w:r>
        <w:rPr>
          <w:color w:val="auto"/>
        </w:rPr>
        <w:t xml:space="preserve">(тыс.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руб.)</w:t>
      </w:r>
      <w:r>
        <w:rPr>
          <w:color w:val="auto"/>
        </w:rPr>
      </w:r>
      <w:r>
        <w:rPr>
          <w:color w:val="auto"/>
        </w:rPr>
      </w:r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6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Факт на 01.0</w:t>
            </w:r>
            <w:r>
              <w:rPr>
                <w:color w:val="auto"/>
                <w:sz w:val="20"/>
                <w:szCs w:val="20"/>
              </w:rPr>
              <w:t xml:space="preserve">9.2023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20"/>
              </w:rPr>
              <w:t xml:space="preserve">(в сопоставимых условиях с 2024 г.)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Факт на 01.0</w:t>
            </w:r>
            <w:r>
              <w:rPr>
                <w:color w:val="auto"/>
                <w:sz w:val="20"/>
                <w:szCs w:val="20"/>
              </w:rPr>
              <w:t xml:space="preserve">9.2024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Отклонение поступлений 2024 года от 2023 года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Отношение поступлений 2024 года к 2023 году, 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2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Налоговые и неналоговые доходы,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1032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15 538 509,7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19 882 952,4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4 344 442,7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128,0%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2"/>
              <w:ind w:firstLine="17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*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10 976 019,4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14 671 849,5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3 695 830,1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133,7%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2"/>
              <w:ind w:firstLine="17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4 562 490,3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5 211 102,9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648 612,6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114,2%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2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15 268 676,5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16 796 887,3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1 528 210,8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110,0%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1032"/>
              <w:jc w:val="left"/>
              <w:spacing w:line="24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Всего доходов</w: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30 807 186,2</w:t>
            </w:r>
            <w:r>
              <w:rPr>
                <w:b/>
                <w:bCs/>
                <w:color w:val="auto"/>
                <w:sz w:val="32"/>
                <w:szCs w:val="32"/>
              </w:rPr>
            </w:r>
            <w:r>
              <w:rPr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36 679 839,7</w:t>
            </w:r>
            <w:r>
              <w:rPr>
                <w:b/>
                <w:bCs/>
                <w:color w:val="auto"/>
                <w:sz w:val="32"/>
                <w:szCs w:val="32"/>
              </w:rPr>
            </w:r>
            <w:r>
              <w:rPr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5 872 653,5</w:t>
            </w:r>
            <w:r>
              <w:rPr>
                <w:b/>
                <w:bCs/>
                <w:color w:val="auto"/>
                <w:sz w:val="32"/>
                <w:szCs w:val="32"/>
              </w:rPr>
            </w:r>
            <w:r>
              <w:rPr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widowControl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119,1%</w:t>
            </w:r>
            <w:r>
              <w:rPr>
                <w:b/>
                <w:bCs/>
                <w:color w:val="auto"/>
                <w:sz w:val="32"/>
                <w:szCs w:val="32"/>
              </w:rPr>
            </w:r>
            <w:r>
              <w:rPr>
                <w:b/>
                <w:bCs/>
                <w:color w:val="auto"/>
                <w:sz w:val="32"/>
                <w:szCs w:val="32"/>
              </w:rPr>
            </w:r>
          </w:p>
        </w:tc>
      </w:tr>
    </w:tbl>
    <w:p>
      <w:pPr>
        <w:pStyle w:val="1032"/>
        <w:ind w:left="426"/>
        <w:spacing w:line="240" w:lineRule="atLeast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 xml:space="preserve">* в связи с изменениями с 2024 года норматива зачисления по налогу, взимаемому в связи с применением упр</w:t>
      </w:r>
      <w:r>
        <w:rPr>
          <w:color w:val="auto"/>
          <w:sz w:val="18"/>
          <w:szCs w:val="16"/>
        </w:rPr>
        <w:t xml:space="preserve">ощенной системы</w:t>
      </w:r>
      <w:r>
        <w:rPr>
          <w:color w:val="auto"/>
          <w:sz w:val="18"/>
          <w:szCs w:val="16"/>
        </w:rPr>
      </w:r>
      <w:r>
        <w:rPr>
          <w:color w:val="auto"/>
          <w:sz w:val="18"/>
          <w:szCs w:val="16"/>
        </w:rPr>
      </w:r>
    </w:p>
    <w:p>
      <w:pPr>
        <w:pStyle w:val="1032"/>
        <w:spacing w:line="240" w:lineRule="atLeast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 xml:space="preserve">налогообложения </w:t>
      </w:r>
      <w:r>
        <w:rPr>
          <w:color w:val="auto"/>
          <w:sz w:val="18"/>
          <w:szCs w:val="16"/>
        </w:rPr>
        <w:t xml:space="preserve">(далее – УСН), объем доходов бюджета 2023 года приведен в сопоставимые условия (норматив по УСН – 10,0 %).</w:t>
      </w:r>
      <w:r>
        <w:rPr>
          <w:color w:val="auto"/>
          <w:sz w:val="18"/>
          <w:szCs w:val="16"/>
        </w:rPr>
      </w:r>
      <w:r>
        <w:rPr>
          <w:color w:val="auto"/>
          <w:sz w:val="18"/>
          <w:szCs w:val="16"/>
        </w:rPr>
      </w:r>
    </w:p>
    <w:p>
      <w:pPr>
        <w:pStyle w:val="1032"/>
        <w:spacing w:line="240" w:lineRule="atLeast"/>
        <w:tabs>
          <w:tab w:val="left" w:pos="-180" w:leader="none"/>
        </w:tabs>
        <w:rPr>
          <w:color w:val="auto"/>
          <w:sz w:val="20"/>
          <w:szCs w:val="36"/>
        </w:rPr>
      </w:pPr>
      <w:r>
        <w:rPr>
          <w:color w:val="auto"/>
          <w:sz w:val="16"/>
          <w:szCs w:val="28"/>
        </w:rPr>
      </w:r>
      <w:r>
        <w:rPr>
          <w:color w:val="auto"/>
          <w:sz w:val="20"/>
          <w:szCs w:val="36"/>
        </w:rPr>
      </w:r>
      <w:r>
        <w:rPr>
          <w:color w:val="auto"/>
          <w:sz w:val="20"/>
          <w:szCs w:val="36"/>
        </w:rPr>
      </w:r>
    </w:p>
    <w:p>
      <w:pPr>
        <w:pStyle w:val="1032"/>
        <w:ind w:firstLine="709"/>
        <w:keepLines/>
        <w:spacing w:line="240" w:lineRule="atLeast"/>
        <w:tabs>
          <w:tab w:val="left" w:pos="7938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расходам</w:t>
      </w:r>
      <w:r>
        <w:rPr>
          <w:color w:val="auto"/>
          <w:sz w:val="28"/>
          <w:szCs w:val="28"/>
        </w:rPr>
        <w:t xml:space="preserve"> - в сумме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32 347 885,3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95,7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января-августа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(</w:t>
      </w:r>
      <w:r>
        <w:rPr>
          <w:color w:val="auto"/>
          <w:sz w:val="28"/>
          <w:szCs w:val="28"/>
        </w:rPr>
        <w:t xml:space="preserve">33 789 605,8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56,5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годовых</w:t>
      </w:r>
      <w:r>
        <w:rPr>
          <w:color w:val="auto"/>
          <w:sz w:val="28"/>
          <w:szCs w:val="28"/>
        </w:rPr>
        <w:t xml:space="preserve"> ассигнований</w:t>
      </w:r>
      <w:r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57 265 834,5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</w:t>
      </w:r>
      <w:r>
        <w:rPr>
          <w:color w:val="auto"/>
          <w:sz w:val="28"/>
          <w:szCs w:val="28"/>
        </w:rPr>
        <w:t xml:space="preserve">.). </w:t>
      </w:r>
      <w:r>
        <w:rPr>
          <w:color w:val="auto"/>
          <w:sz w:val="28"/>
          <w:szCs w:val="28"/>
        </w:rPr>
        <w:t xml:space="preserve">К</w:t>
      </w:r>
      <w:r>
        <w:rPr>
          <w:bCs/>
          <w:color w:val="auto"/>
          <w:sz w:val="28"/>
          <w:szCs w:val="28"/>
        </w:rPr>
        <w:t xml:space="preserve">ассовый расход за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аналогичный период прошлого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31 127 955,5 </w:t>
      </w:r>
      <w:r>
        <w:rPr>
          <w:color w:val="auto"/>
          <w:sz w:val="28"/>
          <w:szCs w:val="28"/>
        </w:rPr>
        <w:t xml:space="preserve">тыс.руб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94,0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</w:t>
      </w:r>
      <w:r>
        <w:rPr>
          <w:color w:val="auto"/>
          <w:sz w:val="28"/>
          <w:szCs w:val="28"/>
        </w:rPr>
        <w:t xml:space="preserve">января-августа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ind w:firstLine="709"/>
        <w:keepLines/>
        <w:spacing w:line="240" w:lineRule="atLeast"/>
        <w:tabs>
          <w:tab w:val="left" w:pos="7938" w:leader="none"/>
        </w:tabs>
        <w:rPr>
          <w:color w:val="auto"/>
          <w:sz w:val="14"/>
          <w:szCs w:val="10"/>
        </w:rPr>
      </w:pPr>
      <w:r>
        <w:rPr>
          <w:color w:val="auto"/>
          <w:sz w:val="20"/>
          <w:szCs w:val="16"/>
        </w:rPr>
      </w:r>
      <w:r>
        <w:rPr>
          <w:color w:val="auto"/>
          <w:sz w:val="14"/>
          <w:szCs w:val="10"/>
        </w:rPr>
      </w:r>
      <w:r>
        <w:rPr>
          <w:color w:val="auto"/>
          <w:sz w:val="14"/>
          <w:szCs w:val="10"/>
        </w:rPr>
      </w:r>
    </w:p>
    <w:p>
      <w:pPr>
        <w:pStyle w:val="1032"/>
        <w:ind w:firstLine="709"/>
        <w:keepLines/>
        <w:spacing w:line="240" w:lineRule="auto"/>
        <w:rPr>
          <w:b/>
          <w:color w:val="auto"/>
          <w:sz w:val="12"/>
          <w:szCs w:val="28"/>
        </w:rPr>
      </w:pPr>
      <w:r>
        <w:rPr>
          <w:color w:val="auto"/>
          <w:sz w:val="28"/>
          <w:szCs w:val="28"/>
        </w:rPr>
        <w:t xml:space="preserve">Поступления доходов за </w:t>
      </w:r>
      <w:r>
        <w:rPr>
          <w:color w:val="auto"/>
          <w:sz w:val="28"/>
          <w:szCs w:val="28"/>
        </w:rPr>
        <w:t xml:space="preserve">январь-август </w:t>
      </w:r>
      <w:r>
        <w:rPr>
          <w:color w:val="auto"/>
          <w:sz w:val="28"/>
          <w:szCs w:val="28"/>
        </w:rPr>
        <w:t xml:space="preserve">2024 года превысили выплаты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</w:t>
      </w:r>
      <w:r>
        <w:rPr>
          <w:color w:val="auto"/>
          <w:sz w:val="28"/>
          <w:szCs w:val="28"/>
        </w:rPr>
        <w:t xml:space="preserve"> расходам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сумму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4 331 954,4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</w:rPr>
        <w:t xml:space="preserve"> </w:t>
      </w:r>
      <w:r>
        <w:rPr>
          <w:b/>
          <w:color w:val="auto"/>
          <w:sz w:val="12"/>
          <w:szCs w:val="28"/>
        </w:rPr>
      </w:r>
      <w:r>
        <w:rPr>
          <w:b/>
          <w:color w:val="auto"/>
          <w:sz w:val="12"/>
          <w:szCs w:val="28"/>
        </w:rPr>
      </w:r>
    </w:p>
    <w:p>
      <w:pPr>
        <w:pStyle w:val="1032"/>
        <w:ind w:firstLine="720"/>
        <w:spacing w:line="240" w:lineRule="auto"/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</w:p>
    <w:p>
      <w:pPr>
        <w:pStyle w:val="1032"/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Остаток средств на счете местн</w:t>
      </w:r>
      <w:r>
        <w:rPr>
          <w:color w:val="auto"/>
          <w:sz w:val="28"/>
          <w:szCs w:val="28"/>
        </w:rPr>
        <w:t xml:space="preserve">ого бюджета по состоянию на 01.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9.202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составил </w:t>
      </w:r>
      <w:r>
        <w:rPr>
          <w:color w:val="auto"/>
          <w:sz w:val="28"/>
          <w:szCs w:val="28"/>
        </w:rPr>
        <w:t xml:space="preserve">5 167 206,2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руб. (в том числе: собственные </w:t>
      </w:r>
      <w:r>
        <w:rPr>
          <w:color w:val="auto"/>
          <w:sz w:val="28"/>
          <w:szCs w:val="28"/>
        </w:rPr>
        <w:t xml:space="preserve">средства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3 991 255,8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субсидии, субвенции </w:t>
      </w:r>
      <w:r>
        <w:rPr>
          <w:color w:val="auto"/>
          <w:sz w:val="28"/>
          <w:szCs w:val="28"/>
        </w:rPr>
        <w:t xml:space="preserve">и иные МБТ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1 1</w:t>
      </w:r>
      <w:r>
        <w:rPr>
          <w:color w:val="auto"/>
          <w:sz w:val="28"/>
          <w:szCs w:val="28"/>
        </w:rPr>
        <w:t xml:space="preserve">75 950,4 тыс. 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</w:r>
      <w:r>
        <w:rPr>
          <w:color w:val="auto"/>
          <w:sz w:val="28"/>
          <w:szCs w:val="20"/>
        </w:rPr>
      </w:r>
      <w:r>
        <w:rPr>
          <w:color w:val="auto"/>
          <w:sz w:val="28"/>
          <w:szCs w:val="20"/>
        </w:rPr>
      </w:r>
    </w:p>
    <w:p>
      <w:pPr>
        <w:pStyle w:val="1032"/>
        <w:numPr>
          <w:ilvl w:val="0"/>
          <w:numId w:val="86"/>
        </w:numPr>
        <w:contextualSpacing/>
        <w:ind w:right="-1"/>
        <w:jc w:val="left"/>
        <w:spacing w:line="240" w:lineRule="auto"/>
        <w:widowControl/>
        <w:rPr>
          <w:rFonts w:eastAsia="Calibri"/>
          <w:b/>
          <w:caps/>
          <w:color w:val="auto"/>
          <w:sz w:val="28"/>
          <w:szCs w:val="22"/>
        </w:rPr>
      </w:pPr>
      <w:r>
        <w:rPr>
          <w:rFonts w:eastAsia="Calibri"/>
          <w:b/>
          <w:caps/>
          <w:color w:val="auto"/>
          <w:sz w:val="28"/>
          <w:szCs w:val="22"/>
          <w:lang w:eastAsia="en-US"/>
        </w:rPr>
        <w:t xml:space="preserve">ИСПОЛНЕНИЕ БЮДЖЕТА ПО ДОХОДАМ</w:t>
      </w:r>
      <w:r>
        <w:rPr>
          <w:rFonts w:eastAsia="Calibri"/>
          <w:b/>
          <w:caps/>
          <w:color w:val="auto"/>
          <w:sz w:val="28"/>
          <w:szCs w:val="22"/>
        </w:rPr>
      </w:r>
      <w:r>
        <w:rPr>
          <w:rFonts w:eastAsia="Calibri"/>
          <w:b/>
          <w:caps/>
          <w:color w:val="auto"/>
          <w:sz w:val="28"/>
          <w:szCs w:val="22"/>
        </w:rPr>
      </w:r>
    </w:p>
    <w:p>
      <w:pPr>
        <w:pStyle w:val="1032"/>
        <w:jc w:val="center"/>
        <w:spacing w:line="240" w:lineRule="auto"/>
        <w:rPr>
          <w:color w:val="auto"/>
          <w:sz w:val="20"/>
          <w:szCs w:val="28"/>
        </w:rPr>
      </w:pPr>
      <w:r>
        <w:rPr>
          <w:color w:val="auto"/>
          <w:szCs w:val="28"/>
        </w:rPr>
        <w:t xml:space="preserve">    (приложение 1 к пояснительной записке)</w:t>
      </w:r>
      <w:r>
        <w:rPr>
          <w:color w:val="auto"/>
          <w:sz w:val="20"/>
          <w:szCs w:val="28"/>
        </w:rPr>
      </w:r>
      <w:r>
        <w:rPr>
          <w:color w:val="auto"/>
          <w:sz w:val="20"/>
          <w:szCs w:val="28"/>
        </w:rPr>
      </w:r>
    </w:p>
    <w:p>
      <w:pPr>
        <w:pStyle w:val="1032"/>
        <w:spacing w:line="240" w:lineRule="auto"/>
        <w:rPr>
          <w:color w:val="auto"/>
          <w:sz w:val="20"/>
          <w:szCs w:val="36"/>
        </w:rPr>
      </w:pPr>
      <w:r>
        <w:rPr>
          <w:color w:val="auto"/>
          <w:sz w:val="16"/>
          <w:szCs w:val="28"/>
        </w:rPr>
      </w:r>
      <w:r>
        <w:rPr>
          <w:color w:val="auto"/>
          <w:sz w:val="20"/>
          <w:szCs w:val="36"/>
        </w:rPr>
      </w:r>
      <w:r>
        <w:rPr>
          <w:color w:val="auto"/>
          <w:sz w:val="20"/>
          <w:szCs w:val="36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7030a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Налоговые доходы</w:t>
      </w:r>
      <w:r>
        <w:rPr>
          <w:color w:val="auto"/>
          <w:sz w:val="28"/>
          <w:szCs w:val="28"/>
        </w:rPr>
        <w:t xml:space="preserve"> поступили в бюджет города </w:t>
      </w: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14 671 849,5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 xml:space="preserve">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 xml:space="preserve">что </w:t>
      </w:r>
      <w:r>
        <w:rPr>
          <w:color w:val="auto"/>
          <w:sz w:val="28"/>
          <w:szCs w:val="28"/>
        </w:rPr>
        <w:t xml:space="preserve">составило </w:t>
      </w:r>
      <w:r>
        <w:rPr>
          <w:b/>
          <w:color w:val="auto"/>
          <w:sz w:val="28"/>
          <w:szCs w:val="28"/>
        </w:rPr>
        <w:t xml:space="preserve">100,2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января-</w:t>
      </w:r>
      <w:r>
        <w:rPr>
          <w:color w:val="auto"/>
          <w:sz w:val="28"/>
          <w:szCs w:val="28"/>
        </w:rPr>
        <w:t xml:space="preserve">августа 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(</w:t>
      </w:r>
      <w:r>
        <w:rPr>
          <w:color w:val="auto"/>
          <w:sz w:val="28"/>
          <w:szCs w:val="28"/>
        </w:rPr>
        <w:t xml:space="preserve">14 644 883,2</w:t>
      </w:r>
      <w:r>
        <w:rPr>
          <w:color w:val="auto"/>
          <w:sz w:val="28"/>
          <w:szCs w:val="28"/>
        </w:rPr>
        <w:t xml:space="preserve"> тыс. руб</w:t>
      </w:r>
      <w:r>
        <w:rPr>
          <w:color w:val="auto"/>
          <w:sz w:val="28"/>
          <w:szCs w:val="28"/>
        </w:rPr>
        <w:t xml:space="preserve">.)</w:t>
      </w:r>
      <w:r>
        <w:rPr>
          <w:color w:val="auto"/>
          <w:sz w:val="28"/>
          <w:szCs w:val="28"/>
        </w:rPr>
        <w:t xml:space="preserve">                             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59,5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(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4 659 439,2</w:t>
      </w:r>
      <w:r>
        <w:rPr>
          <w:color w:val="auto"/>
          <w:sz w:val="28"/>
          <w:szCs w:val="28"/>
        </w:rPr>
        <w:t xml:space="preserve"> тыс</w:t>
      </w:r>
      <w:r>
        <w:rPr>
          <w:color w:val="auto"/>
          <w:sz w:val="28"/>
          <w:szCs w:val="28"/>
        </w:rPr>
        <w:t xml:space="preserve">. руб.). За аналогичный период прошлого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</w:t>
      </w:r>
      <w:r>
        <w:rPr>
          <w:color w:val="000000" w:themeColor="text1"/>
          <w:sz w:val="28"/>
          <w:szCs w:val="28"/>
        </w:rPr>
        <w:t xml:space="preserve">тупления налоговых доходов составляли </w:t>
      </w:r>
      <w:r>
        <w:rPr>
          <w:color w:val="000000" w:themeColor="text1"/>
          <w:sz w:val="28"/>
          <w:szCs w:val="28"/>
        </w:rPr>
        <w:t xml:space="preserve">10 976 019,4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sz w:val="28"/>
          <w:szCs w:val="28"/>
        </w:rPr>
        <w:t xml:space="preserve">, или </w:t>
      </w:r>
      <w:r>
        <w:rPr>
          <w:b/>
          <w:sz w:val="28"/>
          <w:szCs w:val="28"/>
        </w:rPr>
        <w:t xml:space="preserve">99,1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января-августа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color w:val="7030a0" w:themeColor="text1"/>
          <w:sz w:val="28"/>
          <w:szCs w:val="28"/>
        </w:rPr>
      </w:r>
      <w:r>
        <w:rPr>
          <w:color w:val="7030a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7030a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Неналоговые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color w:val="000000" w:themeColor="text1"/>
          <w:sz w:val="28"/>
          <w:szCs w:val="28"/>
        </w:rPr>
        <w:t xml:space="preserve">сумме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5 211 102,9</w:t>
      </w:r>
      <w:r>
        <w:rPr>
          <w:color w:val="000000" w:themeColor="text1"/>
          <w:sz w:val="28"/>
          <w:szCs w:val="28"/>
        </w:rPr>
        <w:t xml:space="preserve"> тыс. руб.,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105,3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к плану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января-августа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года (</w:t>
      </w:r>
      <w:r>
        <w:rPr>
          <w:color w:val="000000" w:themeColor="text1"/>
          <w:sz w:val="28"/>
          <w:szCs w:val="28"/>
        </w:rPr>
        <w:t xml:space="preserve">4 948 396,0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</w:t>
      </w:r>
      <w:r>
        <w:rPr>
          <w:color w:val="000000" w:themeColor="text1"/>
          <w:sz w:val="28"/>
          <w:szCs w:val="28"/>
        </w:rPr>
        <w:t xml:space="preserve">.) и </w:t>
      </w:r>
      <w:r>
        <w:rPr>
          <w:b/>
          <w:color w:val="000000" w:themeColor="text1"/>
          <w:sz w:val="28"/>
          <w:szCs w:val="28"/>
        </w:rPr>
        <w:t xml:space="preserve">68,7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к плану</w:t>
      </w:r>
      <w:r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 590 293,6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За</w:t>
      </w:r>
      <w:r>
        <w:rPr>
          <w:color w:val="000000" w:themeColor="text1"/>
          <w:sz w:val="28"/>
          <w:szCs w:val="28"/>
        </w:rPr>
        <w:t xml:space="preserve"> аналогичный период прошлого года поступления</w:t>
      </w:r>
      <w:r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 xml:space="preserve">еналоговых доходов составляли </w:t>
      </w:r>
      <w:r>
        <w:rPr>
          <w:color w:val="000000" w:themeColor="text1"/>
          <w:sz w:val="28"/>
          <w:szCs w:val="28"/>
        </w:rPr>
        <w:t xml:space="preserve">4 562 490,3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</w:t>
      </w:r>
      <w:r>
        <w:rPr>
          <w:color w:val="000000" w:themeColor="text1"/>
          <w:sz w:val="28"/>
          <w:szCs w:val="28"/>
        </w:rPr>
        <w:t xml:space="preserve">руб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111,6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января-августа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7030a0" w:themeColor="text1"/>
          <w:sz w:val="28"/>
          <w:szCs w:val="28"/>
        </w:rPr>
      </w:r>
      <w:r>
        <w:rPr>
          <w:color w:val="7030a0" w:themeColor="text1"/>
          <w:sz w:val="28"/>
          <w:szCs w:val="28"/>
        </w:rPr>
      </w:r>
    </w:p>
    <w:p>
      <w:pPr>
        <w:pStyle w:val="1032"/>
        <w:ind w:firstLine="709"/>
        <w:spacing w:line="240" w:lineRule="auto"/>
        <w:tabs>
          <w:tab w:val="left" w:pos="0" w:leader="none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color w:val="000000" w:themeColor="text1"/>
          <w:sz w:val="28"/>
          <w:szCs w:val="28"/>
        </w:rPr>
        <w:t xml:space="preserve"> от бюджетов других уровней поступили в сумме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</w:t>
      </w:r>
      <w:r>
        <w:rPr>
          <w:b/>
          <w:bCs/>
          <w:color w:val="auto"/>
          <w:sz w:val="28"/>
          <w:szCs w:val="28"/>
        </w:rPr>
        <w:t xml:space="preserve">16 796 887,3</w:t>
      </w:r>
      <w:r>
        <w:rPr>
          <w:color w:val="auto"/>
          <w:sz w:val="28"/>
          <w:szCs w:val="28"/>
        </w:rPr>
        <w:t xml:space="preserve"> тыс</w:t>
      </w:r>
      <w:r>
        <w:rPr>
          <w:color w:val="auto"/>
          <w:sz w:val="28"/>
          <w:szCs w:val="28"/>
        </w:rPr>
        <w:t xml:space="preserve">. 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99,7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к</w:t>
      </w:r>
      <w:r>
        <w:rPr>
          <w:color w:val="auto"/>
          <w:sz w:val="28"/>
          <w:szCs w:val="28"/>
        </w:rPr>
        <w:t xml:space="preserve"> плану </w:t>
      </w:r>
      <w:r>
        <w:rPr>
          <w:color w:val="auto"/>
          <w:sz w:val="28"/>
          <w:szCs w:val="28"/>
        </w:rPr>
        <w:t xml:space="preserve">января-августа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(</w:t>
      </w:r>
      <w:r>
        <w:rPr>
          <w:color w:val="auto"/>
          <w:sz w:val="28"/>
          <w:szCs w:val="28"/>
        </w:rPr>
        <w:t xml:space="preserve">16 849 996,4</w:t>
      </w:r>
      <w:r>
        <w:rPr>
          <w:color w:val="7030a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тыс. руб.)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65,6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 плану</w:t>
      </w:r>
      <w:r>
        <w:rPr>
          <w:color w:val="auto"/>
          <w:sz w:val="28"/>
          <w:szCs w:val="28"/>
        </w:rPr>
        <w:t xml:space="preserve"> года (</w:t>
      </w:r>
      <w:r>
        <w:rPr>
          <w:color w:val="auto"/>
          <w:sz w:val="28"/>
          <w:szCs w:val="28"/>
        </w:rPr>
        <w:t xml:space="preserve">25 593 987,3</w:t>
      </w:r>
      <w:r>
        <w:rPr>
          <w:color w:val="auto"/>
          <w:sz w:val="28"/>
          <w:szCs w:val="28"/>
        </w:rPr>
        <w:t xml:space="preserve"> тыс. руб.). За аналогичный период прошл</w:t>
      </w:r>
      <w:r>
        <w:rPr>
          <w:color w:val="auto"/>
          <w:sz w:val="28"/>
          <w:szCs w:val="28"/>
        </w:rPr>
        <w:t xml:space="preserve">ого года поступления составляли </w:t>
      </w:r>
      <w:r>
        <w:rPr>
          <w:color w:val="auto"/>
          <w:sz w:val="28"/>
          <w:szCs w:val="28"/>
        </w:rPr>
        <w:t xml:space="preserve">15 268 676,5</w:t>
      </w:r>
      <w:r>
        <w:rPr>
          <w:color w:val="auto"/>
          <w:sz w:val="28"/>
          <w:szCs w:val="28"/>
        </w:rPr>
        <w:t xml:space="preserve"> тыс.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98,9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sz w:val="28"/>
          <w:szCs w:val="28"/>
        </w:rPr>
        <w:t xml:space="preserve"> января-августа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32"/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назначение, прошлых лет, отражаемая в доходах бюджета со знаком «минус», в общем </w:t>
      </w:r>
      <w:r>
        <w:rPr>
          <w:color w:val="auto"/>
          <w:sz w:val="28"/>
          <w:szCs w:val="28"/>
        </w:rPr>
        <w:t xml:space="preserve">объеме </w:t>
      </w:r>
      <w:r>
        <w:rPr>
          <w:color w:val="auto"/>
          <w:sz w:val="28"/>
          <w:szCs w:val="28"/>
        </w:rPr>
        <w:t xml:space="preserve">131 257,1</w:t>
      </w:r>
      <w:r>
        <w:rPr>
          <w:color w:val="auto"/>
          <w:sz w:val="28"/>
          <w:szCs w:val="28"/>
        </w:rPr>
        <w:t xml:space="preserve"> тыс. руб. За аналогичный период прошлого года сумма возврата составляла </w:t>
      </w:r>
      <w:r>
        <w:rPr>
          <w:color w:val="auto"/>
          <w:sz w:val="28"/>
          <w:szCs w:val="28"/>
        </w:rPr>
        <w:t xml:space="preserve">318 922,7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ind w:firstLine="720"/>
        <w:spacing w:line="240" w:lineRule="auto"/>
        <w:tabs>
          <w:tab w:val="left" w:pos="1127" w:leader="none"/>
        </w:tabs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2"/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исполнения плана по доходам за </w:t>
      </w:r>
      <w:r>
        <w:rPr>
          <w:color w:val="auto"/>
          <w:sz w:val="28"/>
          <w:szCs w:val="28"/>
        </w:rPr>
        <w:t xml:space="preserve">январь-август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по основным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бюджетообразующим поступлениям выглядит следующим образом: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состоянию на 01.0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9.2024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фактическое поступление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налога на доходы физических лиц составило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11 715 589,3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руб.,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100,7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%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(11 636 651,3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тыс. руб.)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60,7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уточненному плану года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19 291 111,4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тыс. руб.).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136,2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Согласно итогам социально-экономического развития города Перми, рост среднемесячной заработной платы работников крупных и средних предприятий города за январь-май 2024 года относительно аналогичного периода прошлого года составил 119,7 %.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За 8 месяцев 2024 года сумма возвратов по налогу в связи с предоставлением социальных, имущественных и других вычетов физическим лицам составила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1 297 346,0 тыс. руб., что на 251 804,0 тыс. руб., или на 16,5 % меньше относительно аналогичного периода прошлого года.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keepLines w:val="0"/>
        <w:spacing w:after="0" w:line="360" w:lineRule="atLeast"/>
        <w:widowControl w:val="off"/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18"/>
          <w:szCs w:val="18"/>
          <w:highlight w:val="white"/>
        </w:rPr>
      </w:r>
    </w:p>
    <w:p>
      <w:pPr>
        <w:ind w:firstLine="709"/>
        <w:jc w:val="both"/>
        <w:keepLines w:val="0"/>
        <w:spacing w:after="0" w:line="360" w:lineRule="atLeast"/>
        <w:widowControl w:val="off"/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 налогу, взимаемому в связи с применением упрощенной системы налого-обложения,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фактическое поступление составило 867 153,6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руб.,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106,2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%                       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816 439,4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руб.) 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80,6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% к уточненному плану года               (1 075 733,5 тыс. руб.).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135,9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единому налогу на вмененный доход для отдельных видов деятельности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поступили платежи в счет погашения задолженности в сумме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635,0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  <w:lang w:eastAsia="ru-RU"/>
        </w:rPr>
      </w:r>
    </w:p>
    <w:p>
      <w:pPr>
        <w:ind w:firstLine="851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Cs/>
          <w:color w:val="auto"/>
          <w:sz w:val="24"/>
          <w:szCs w:val="24"/>
          <w:highlight w:val="white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налогу, взимаемому в связи с применением патентной системы налого-обложения,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фактическое поступление составило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312 576,3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руб.,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92,0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%             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339 934,4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руб.) 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88,1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% к плану года (354 934,4                      тыс. руб.).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keepLines w:val="0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Неисполнение плана обусловлено ростом количества налогоплательщиков, воспользовавшихся прав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ом уменьшения налога на сумму уплаченных страховых взносов.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iCs/>
          <w:color w:val="7030a0"/>
          <w:sz w:val="18"/>
          <w:szCs w:val="18"/>
          <w:highlight w:val="white"/>
        </w:rPr>
      </w:pPr>
      <w:r>
        <w:rPr>
          <w:iCs/>
          <w:color w:val="7030a0"/>
          <w:sz w:val="28"/>
          <w:szCs w:val="28"/>
          <w:highlight w:val="white"/>
        </w:rPr>
      </w:r>
      <w:r>
        <w:rPr>
          <w:iCs/>
          <w:color w:val="7030a0"/>
          <w:sz w:val="18"/>
          <w:szCs w:val="18"/>
          <w:highlight w:val="white"/>
        </w:rPr>
      </w:r>
      <w:r>
        <w:rPr>
          <w:iCs/>
          <w:color w:val="7030a0"/>
          <w:sz w:val="18"/>
          <w:szCs w:val="18"/>
          <w:highlight w:val="white"/>
        </w:rPr>
      </w:r>
    </w:p>
    <w:p>
      <w:pPr>
        <w:ind w:firstLine="708"/>
        <w:keepLines w:val="0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color w:val="auto"/>
          <w:sz w:val="28"/>
          <w:szCs w:val="28"/>
          <w:highlight w:val="white"/>
        </w:rPr>
        <w:t xml:space="preserve">поступил в сумме </w:t>
      </w:r>
      <w:r>
        <w:rPr>
          <w:color w:val="auto"/>
          <w:sz w:val="28"/>
          <w:szCs w:val="28"/>
          <w:highlight w:val="white"/>
        </w:rPr>
        <w:t xml:space="preserve">60 186,3</w:t>
      </w:r>
      <w:r>
        <w:rPr>
          <w:iCs/>
          <w:color w:val="auto"/>
          <w:sz w:val="28"/>
          <w:szCs w:val="28"/>
          <w:highlight w:val="white"/>
        </w:rPr>
        <w:t xml:space="preserve"> тыс. руб.,                   или 76,2 % к плану отчетного периода (79 000,0 тыс. руб.) и 4,8 % к плану года </w:t>
      </w:r>
      <w:r>
        <w:rPr>
          <w:iCs/>
          <w:color w:val="auto"/>
          <w:sz w:val="28"/>
          <w:szCs w:val="28"/>
          <w:highlight w:val="white"/>
        </w:rPr>
        <w:t xml:space="preserve">(1 250 550,2 тыс. руб.).</w:t>
      </w:r>
      <w:r>
        <w:rPr>
          <w:color w:val="auto"/>
          <w:highlight w:val="white"/>
        </w:rPr>
        <w:t xml:space="preserve"> П</w:t>
      </w:r>
      <w:r>
        <w:rPr>
          <w:iCs/>
          <w:color w:val="auto"/>
          <w:sz w:val="28"/>
          <w:szCs w:val="28"/>
          <w:highlight w:val="whit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keepLines w:val="0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По сравнению с аналогичным периодом прошлого года поступление налога увеличилось на 13,0 % (на 6 900,7 тыс. руб.).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keepLines w:val="0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01.08.2024 снизилась на </w:t>
      </w:r>
      <w:r>
        <w:rPr>
          <w:color w:val="auto"/>
          <w:sz w:val="28"/>
          <w:szCs w:val="28"/>
          <w:highlight w:val="white"/>
        </w:rPr>
        <w:t xml:space="preserve">113 151,3</w:t>
      </w:r>
      <w:r>
        <w:rPr>
          <w:color w:val="auto"/>
          <w:sz w:val="28"/>
          <w:szCs w:val="28"/>
          <w:highlight w:val="white"/>
        </w:rPr>
        <w:t xml:space="preserve">            </w:t>
      </w:r>
      <w:r>
        <w:rPr>
          <w:iCs/>
          <w:color w:val="auto"/>
          <w:sz w:val="28"/>
          <w:szCs w:val="28"/>
          <w:highlight w:val="white"/>
        </w:rPr>
        <w:t xml:space="preserve">тыс. руб. и составила </w:t>
      </w:r>
      <w:r>
        <w:rPr>
          <w:color w:val="auto"/>
          <w:sz w:val="28"/>
          <w:szCs w:val="28"/>
          <w:highlight w:val="white"/>
        </w:rPr>
        <w:t xml:space="preserve">142 711,7</w:t>
      </w:r>
      <w:r>
        <w:rPr>
          <w:iCs/>
          <w:color w:val="auto"/>
          <w:sz w:val="28"/>
          <w:szCs w:val="28"/>
          <w:highlight w:val="white"/>
        </w:rPr>
        <w:t xml:space="preserve"> тыс. руб. 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b/>
          <w:color w:val="7030a0"/>
          <w:sz w:val="28"/>
          <w:szCs w:val="28"/>
          <w:highlight w:val="white"/>
        </w:rPr>
      </w:pP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rPr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Земельный налог</w:t>
      </w:r>
      <w:r>
        <w:rPr>
          <w:color w:val="auto"/>
          <w:sz w:val="28"/>
          <w:szCs w:val="28"/>
          <w:highlight w:val="white"/>
        </w:rPr>
        <w:t xml:space="preserve"> поступил в сумме </w:t>
      </w:r>
      <w:r>
        <w:rPr>
          <w:color w:val="auto"/>
          <w:sz w:val="28"/>
          <w:szCs w:val="28"/>
          <w:highlight w:val="white"/>
        </w:rPr>
        <w:t xml:space="preserve">1 493 318,5</w:t>
      </w:r>
      <w:r>
        <w:rPr>
          <w:color w:val="auto"/>
          <w:sz w:val="28"/>
          <w:szCs w:val="28"/>
          <w:highlight w:val="white"/>
        </w:rPr>
        <w:t xml:space="preserve"> тыс. руб., или </w:t>
      </w:r>
      <w:r>
        <w:rPr>
          <w:iCs/>
          <w:color w:val="auto"/>
          <w:sz w:val="28"/>
          <w:szCs w:val="28"/>
          <w:highlight w:val="white"/>
        </w:rPr>
        <w:t xml:space="preserve">94,9 %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1 573 879,0</w:t>
      </w:r>
      <w:r>
        <w:rPr>
          <w:iCs/>
          <w:color w:val="auto"/>
          <w:sz w:val="28"/>
          <w:szCs w:val="28"/>
          <w:highlight w:val="white"/>
        </w:rPr>
        <w:t xml:space="preserve"> тыс. руб.) и 62,7 % к плану года (2 382 735,3 тыс. руб.). </w:t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поступление составило 108,6 %</w:t>
      </w:r>
      <w:r>
        <w:rPr>
          <w:color w:val="auto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keepLines w:val="0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01.08.2024 составляет</w:t>
      </w:r>
      <w:r>
        <w:rPr>
          <w:iCs/>
          <w:color w:val="auto"/>
          <w:sz w:val="28"/>
          <w:szCs w:val="28"/>
        </w:rPr>
        <w:t xml:space="preserve"> 172 481,3</w:t>
      </w:r>
      <w:r>
        <w:rPr>
          <w:iCs/>
          <w:color w:val="auto"/>
          <w:sz w:val="28"/>
          <w:szCs w:val="28"/>
        </w:rPr>
        <w:t xml:space="preserve">                    тыс. руб., в том чис</w:t>
      </w:r>
      <w:r>
        <w:rPr>
          <w:iCs/>
          <w:color w:val="auto"/>
          <w:sz w:val="28"/>
          <w:szCs w:val="28"/>
        </w:rPr>
        <w:t xml:space="preserve">ле задолженность организаций - 91 062,8 тыс. руб., физических лиц – 81 418,5</w:t>
      </w:r>
      <w:r>
        <w:rPr>
          <w:iCs/>
          <w:color w:val="auto"/>
          <w:sz w:val="28"/>
          <w:szCs w:val="28"/>
        </w:rPr>
        <w:t xml:space="preserve"> тыс. руб. По сравнению с 01.01.2024 года</w:t>
      </w:r>
      <w:r>
        <w:rPr>
          <w:iCs/>
          <w:color w:val="auto"/>
          <w:sz w:val="28"/>
          <w:szCs w:val="28"/>
        </w:rPr>
        <w:t xml:space="preserve"> задолженность уменьшилась                   на 49 074,7</w:t>
      </w:r>
      <w:r>
        <w:rPr>
          <w:iCs/>
          <w:color w:val="auto"/>
          <w:sz w:val="28"/>
          <w:szCs w:val="28"/>
        </w:rPr>
        <w:t xml:space="preserve"> тыс. руб., в том числе по физическим лицам снизил</w:t>
      </w:r>
      <w:r>
        <w:rPr>
          <w:iCs/>
          <w:color w:val="auto"/>
          <w:sz w:val="28"/>
          <w:szCs w:val="28"/>
        </w:rPr>
        <w:t xml:space="preserve">ась на 30 469,9</w:t>
      </w:r>
      <w:r>
        <w:rPr>
          <w:iCs/>
          <w:color w:val="auto"/>
          <w:sz w:val="28"/>
          <w:szCs w:val="28"/>
        </w:rPr>
        <w:t xml:space="preserve">                      тыс. руб., по организациям</w:t>
      </w:r>
      <w:r>
        <w:rPr>
          <w:iCs/>
          <w:color w:val="auto"/>
          <w:sz w:val="28"/>
          <w:szCs w:val="28"/>
        </w:rPr>
        <w:t xml:space="preserve"> - </w:t>
      </w:r>
      <w:r>
        <w:rPr>
          <w:iCs/>
          <w:color w:val="auto"/>
          <w:sz w:val="28"/>
          <w:szCs w:val="28"/>
        </w:rPr>
        <w:t xml:space="preserve">на 18 604,8</w:t>
      </w:r>
      <w:r>
        <w:rPr>
          <w:iCs/>
          <w:color w:val="auto"/>
          <w:sz w:val="28"/>
          <w:szCs w:val="28"/>
        </w:rPr>
        <w:t xml:space="preserve"> тыс. руб.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keepLines w:val="0"/>
        <w:spacing w:line="240" w:lineRule="auto"/>
        <w:rPr>
          <w:iCs/>
          <w:color w:val="7030a0"/>
          <w:sz w:val="24"/>
          <w:szCs w:val="24"/>
          <w:highlight w:val="white"/>
        </w:rPr>
      </w:pPr>
      <w:r>
        <w:rPr>
          <w:iCs/>
          <w:color w:val="7030a0"/>
          <w:sz w:val="28"/>
          <w:szCs w:val="28"/>
          <w:highlight w:val="white"/>
        </w:rPr>
      </w:r>
      <w:r>
        <w:rPr>
          <w:iCs/>
          <w:color w:val="7030a0"/>
          <w:sz w:val="24"/>
          <w:szCs w:val="24"/>
          <w:highlight w:val="white"/>
        </w:rPr>
      </w:r>
      <w:r>
        <w:rPr>
          <w:iCs/>
          <w:color w:val="7030a0"/>
          <w:sz w:val="24"/>
          <w:szCs w:val="24"/>
          <w:highlight w:val="white"/>
        </w:rPr>
      </w:r>
    </w:p>
    <w:p>
      <w:pPr>
        <w:ind w:left="142" w:firstLine="567"/>
        <w:keepLines w:val="0"/>
        <w:rPr>
          <w:b/>
          <w:iCs/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округам, </w:t>
      </w:r>
      <w:r>
        <w:rPr>
          <w:iCs/>
          <w:color w:val="auto"/>
          <w:sz w:val="28"/>
          <w:szCs w:val="28"/>
          <w:highlight w:val="white"/>
        </w:rPr>
        <w:t xml:space="preserve">п</w:t>
      </w:r>
      <w:r>
        <w:rPr>
          <w:iCs/>
          <w:color w:val="auto"/>
          <w:sz w:val="28"/>
          <w:szCs w:val="28"/>
          <w:highlight w:val="white"/>
        </w:rPr>
        <w:t xml:space="preserve">ри отсутствии плана отчетного </w:t>
      </w:r>
      <w:r>
        <w:rPr>
          <w:color w:val="auto"/>
          <w:sz w:val="28"/>
          <w:szCs w:val="28"/>
          <w:highlight w:val="white"/>
        </w:rPr>
        <w:t xml:space="preserve">периода</w:t>
      </w:r>
      <w:r>
        <w:rPr>
          <w:iCs/>
          <w:color w:val="auto"/>
          <w:sz w:val="28"/>
          <w:szCs w:val="28"/>
          <w:highlight w:val="white"/>
        </w:rPr>
        <w:t xml:space="preserve"> поступили доходы в сумме 7 403,8 тыс. руб. Перечисление обусловлено распределением чистой прибыли ООО «ЦПР им. М. Горького» за 2023 год.</w:t>
      </w:r>
      <w:r>
        <w:rPr>
          <w:b/>
          <w:iCs/>
          <w:color w:val="auto"/>
          <w:sz w:val="28"/>
          <w:szCs w:val="28"/>
          <w:highlight w:val="white"/>
        </w:rPr>
      </w:r>
      <w:r>
        <w:rPr>
          <w:b/>
          <w:iCs/>
          <w:color w:val="auto"/>
          <w:sz w:val="28"/>
          <w:szCs w:val="28"/>
          <w:highlight w:val="white"/>
        </w:rPr>
      </w:r>
    </w:p>
    <w:p>
      <w:pPr>
        <w:ind w:left="142" w:firstLine="709"/>
        <w:keepLines w:val="0"/>
        <w:rPr>
          <w:iCs/>
          <w:color w:val="7030a0"/>
          <w:sz w:val="22"/>
          <w:szCs w:val="22"/>
          <w:highlight w:val="white"/>
        </w:rPr>
      </w:pPr>
      <w:r>
        <w:rPr>
          <w:iCs/>
          <w:color w:val="7030a0"/>
          <w:sz w:val="28"/>
          <w:szCs w:val="28"/>
          <w:highlight w:val="white"/>
        </w:rPr>
      </w:r>
      <w:r>
        <w:rPr>
          <w:iCs/>
          <w:color w:val="7030a0"/>
          <w:sz w:val="22"/>
          <w:szCs w:val="22"/>
          <w:highlight w:val="white"/>
        </w:rPr>
      </w:r>
      <w:r>
        <w:rPr>
          <w:iCs/>
          <w:color w:val="7030a0"/>
          <w:sz w:val="22"/>
          <w:szCs w:val="22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 (за исключением средств от продажи права на заключение договоров аренды) </w:t>
      </w:r>
      <w:r>
        <w:rPr>
          <w:color w:val="auto"/>
          <w:sz w:val="28"/>
          <w:szCs w:val="28"/>
          <w:highlight w:val="white"/>
        </w:rPr>
        <w:t xml:space="preserve">поступили в сумме </w:t>
      </w:r>
      <w:r>
        <w:rPr>
          <w:color w:val="auto"/>
          <w:sz w:val="28"/>
          <w:szCs w:val="28"/>
          <w:highlight w:val="white"/>
        </w:rPr>
        <w:t xml:space="preserve">183 751,9</w:t>
      </w:r>
      <w:r>
        <w:rPr>
          <w:color w:val="auto"/>
          <w:sz w:val="28"/>
          <w:szCs w:val="28"/>
          <w:highlight w:val="white"/>
        </w:rPr>
        <w:t xml:space="preserve"> тыс. руб.,                или 109,7 %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167 550,0</w:t>
      </w:r>
      <w:r>
        <w:rPr>
          <w:color w:val="auto"/>
          <w:sz w:val="28"/>
          <w:szCs w:val="28"/>
          <w:highlight w:val="white"/>
        </w:rPr>
        <w:t xml:space="preserve"> тыс. руб.) и 65,4 % к плану года (280 952,0 тыс. руб.). </w:t>
      </w:r>
      <w:r>
        <w:rPr>
          <w:color w:val="auto"/>
          <w:sz w:val="28"/>
          <w:szCs w:val="28"/>
          <w:highlight w:val="white"/>
        </w:rPr>
        <w:t xml:space="preserve">Перевыполнение планового задания обусловлено поступлением авансовых платежей от арендаторов земельных участков.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уменьшились</w:t>
      </w:r>
      <w:r>
        <w:rPr>
          <w:color w:val="auto"/>
          <w:sz w:val="28"/>
          <w:szCs w:val="28"/>
          <w:highlight w:val="white"/>
        </w:rPr>
        <w:t xml:space="preserve"> на 5 639,6</w:t>
      </w:r>
      <w:r>
        <w:rPr>
          <w:color w:val="auto"/>
          <w:sz w:val="28"/>
          <w:szCs w:val="28"/>
          <w:highlight w:val="white"/>
        </w:rPr>
        <w:t xml:space="preserve"> тыс. руб., или на 3,0 %.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b/>
          <w:color w:val="7030a0"/>
          <w:sz w:val="20"/>
          <w:szCs w:val="20"/>
          <w:highlight w:val="white"/>
        </w:rPr>
      </w:pP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0"/>
          <w:szCs w:val="20"/>
          <w:highlight w:val="white"/>
        </w:rPr>
      </w:r>
      <w:r>
        <w:rPr>
          <w:b/>
          <w:color w:val="7030a0"/>
          <w:sz w:val="20"/>
          <w:szCs w:val="20"/>
          <w:highlight w:val="white"/>
        </w:rPr>
      </w:r>
    </w:p>
    <w:p>
      <w:pPr>
        <w:ind w:firstLine="709"/>
        <w:keepLines w:val="0"/>
        <w:spacing w:line="240" w:lineRule="auto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color w:val="auto"/>
          <w:sz w:val="28"/>
          <w:szCs w:val="28"/>
          <w:highlight w:val="white"/>
        </w:rPr>
        <w:br/>
        <w:t xml:space="preserve">в собственности городских округов (за исключением средств от продажи права                 на заключение договоров аренды)</w:t>
      </w:r>
      <w:r>
        <w:rPr>
          <w:color w:val="auto"/>
          <w:sz w:val="28"/>
          <w:szCs w:val="28"/>
          <w:highlight w:val="white"/>
        </w:rPr>
        <w:t xml:space="preserve"> поступили в сумме</w:t>
      </w:r>
      <w:r>
        <w:rPr>
          <w:i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25 824,8</w:t>
      </w:r>
      <w:r>
        <w:rPr>
          <w:color w:val="auto"/>
          <w:sz w:val="28"/>
          <w:szCs w:val="28"/>
          <w:highlight w:val="white"/>
        </w:rPr>
        <w:t xml:space="preserve"> тыс. руб., что на 8,1 %</w:t>
      </w:r>
      <w:r>
        <w:rPr>
          <w:color w:val="auto"/>
          <w:sz w:val="28"/>
          <w:szCs w:val="28"/>
          <w:highlight w:val="white"/>
        </w:rPr>
        <w:t xml:space="preserve"> больше плана отчетного периода (</w:t>
      </w:r>
      <w:r>
        <w:rPr>
          <w:color w:val="auto"/>
          <w:sz w:val="28"/>
          <w:szCs w:val="28"/>
          <w:highlight w:val="white"/>
        </w:rPr>
        <w:t xml:space="preserve">23 880,0</w:t>
      </w:r>
      <w:r>
        <w:rPr>
          <w:color w:val="auto"/>
          <w:sz w:val="28"/>
          <w:szCs w:val="28"/>
          <w:highlight w:val="white"/>
        </w:rPr>
        <w:t xml:space="preserve"> тыс. руб.) и составляют 60,3 % к плану года (42 797,9 тыс. руб.). </w:t>
      </w:r>
      <w:r>
        <w:rPr>
          <w:color w:val="auto"/>
          <w:sz w:val="28"/>
          <w:szCs w:val="28"/>
          <w:highlight w:val="white"/>
        </w:rPr>
        <w:t xml:space="preserve">Перевыполнение плана отчетного периода обусловлено поступлением платежей по договорам, заключенным после формирования бюджетного задания на 2024 год.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</w:t>
      </w:r>
      <w:r>
        <w:rPr>
          <w:color w:val="auto"/>
          <w:sz w:val="28"/>
          <w:szCs w:val="28"/>
          <w:highlight w:val="white"/>
        </w:rPr>
        <w:t xml:space="preserve">ления по данному виду дохода увеличились на 1 017,7 тыс. руб., или</w:t>
      </w:r>
      <w:r>
        <w:rPr>
          <w:color w:val="auto"/>
          <w:sz w:val="28"/>
          <w:szCs w:val="28"/>
          <w:highlight w:val="white"/>
        </w:rPr>
        <w:t xml:space="preserve"> на </w:t>
      </w:r>
      <w:r>
        <w:rPr>
          <w:color w:val="auto"/>
          <w:sz w:val="28"/>
          <w:szCs w:val="28"/>
          <w:highlight w:val="white"/>
        </w:rPr>
        <w:t xml:space="preserve">4,1 </w:t>
      </w:r>
      <w:r>
        <w:rPr>
          <w:color w:val="auto"/>
          <w:sz w:val="28"/>
          <w:szCs w:val="28"/>
          <w:highlight w:val="white"/>
        </w:rPr>
        <w:t xml:space="preserve">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Средства от продажи права на заключение договоров аренды земельных </w:t>
      </w:r>
      <w:r>
        <w:rPr>
          <w:b/>
          <w:color w:val="auto"/>
          <w:sz w:val="28"/>
          <w:szCs w:val="28"/>
          <w:highlight w:val="white"/>
        </w:rPr>
        <w:t xml:space="preserve">участков,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auto"/>
          <w:sz w:val="28"/>
          <w:szCs w:val="28"/>
          <w:highlight w:val="white"/>
        </w:rPr>
        <w:t xml:space="preserve">, в целом поступили в сумме </w:t>
      </w:r>
      <w:r>
        <w:rPr>
          <w:color w:val="auto"/>
          <w:sz w:val="28"/>
          <w:szCs w:val="28"/>
          <w:highlight w:val="white"/>
        </w:rPr>
        <w:t xml:space="preserve">439 475,8</w:t>
      </w:r>
      <w:r>
        <w:rPr>
          <w:color w:val="auto"/>
          <w:sz w:val="28"/>
          <w:szCs w:val="28"/>
          <w:highlight w:val="white"/>
        </w:rPr>
        <w:t xml:space="preserve"> тыс. руб., что составляет 102,5 % от плана отчетного периода (</w:t>
      </w:r>
      <w:r>
        <w:rPr>
          <w:color w:val="auto"/>
          <w:sz w:val="28"/>
          <w:szCs w:val="28"/>
          <w:highlight w:val="white"/>
        </w:rPr>
        <w:t xml:space="preserve">428 887,7</w:t>
      </w:r>
      <w:r>
        <w:rPr>
          <w:color w:val="auto"/>
          <w:sz w:val="28"/>
          <w:szCs w:val="28"/>
          <w:highlight w:val="white"/>
        </w:rPr>
        <w:t xml:space="preserve"> тыс. руб.) и 99,98 % от уточненного плана года (439 581,6                  тыс. руб.). Относительно аналогичного периода прошлого года поступления                                  по данному виду дохода увеличились в 2,4 раза.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rFonts w:eastAsia="Calibri"/>
          <w:b/>
          <w:color w:val="auto"/>
          <w:sz w:val="24"/>
          <w:szCs w:val="24"/>
          <w:highlight w:val="white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white"/>
        </w:rPr>
      </w:r>
      <w:r>
        <w:rPr>
          <w:rFonts w:eastAsia="Calibri"/>
          <w:b/>
          <w:color w:val="auto"/>
          <w:sz w:val="24"/>
          <w:szCs w:val="24"/>
          <w:highlight w:val="white"/>
        </w:rPr>
      </w:r>
      <w:r>
        <w:rPr>
          <w:rFonts w:eastAsia="Calibri"/>
          <w:b/>
          <w:color w:val="auto"/>
          <w:sz w:val="24"/>
          <w:szCs w:val="24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rFonts w:eastAsia="Calibri"/>
          <w:color w:val="auto"/>
          <w:sz w:val="28"/>
          <w:szCs w:val="28"/>
          <w:highlight w:val="white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 поступили в сумме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53 645,2 тыс. руб., что составляет 88,7 % к плану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(60 500,0 тыс. руб.) и 56,4 % от плана года (95 135,2 тыс. руб.). Невыполнение плана отчетного периода обусловлено в том числе </w:t>
      </w:r>
      <w:r>
        <w:rPr>
          <w:color w:val="auto"/>
          <w:sz w:val="28"/>
          <w:szCs w:val="28"/>
          <w:highlight w:val="white"/>
        </w:rPr>
        <w:t xml:space="preserve">нарушением арендаторами договорных обязательств по оплате.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95,9 %.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4"/>
          <w:szCs w:val="24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Прочие д</w:t>
      </w:r>
      <w:r>
        <w:rPr>
          <w:b/>
          <w:color w:val="auto"/>
          <w:sz w:val="28"/>
          <w:szCs w:val="28"/>
        </w:rPr>
        <w:t xml:space="preserve">оходы от использования имущества и</w:t>
      </w:r>
      <w:r>
        <w:rPr>
          <w:b/>
          <w:color w:val="auto"/>
          <w:sz w:val="28"/>
          <w:szCs w:val="28"/>
        </w:rPr>
        <w:t xml:space="preserve"> прав, находящихся                                 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color w:val="auto"/>
          <w:sz w:val="28"/>
          <w:szCs w:val="28"/>
        </w:rPr>
        <w:t xml:space="preserve"> поступили                             в сумме 1</w:t>
      </w:r>
      <w:r>
        <w:rPr>
          <w:color w:val="auto"/>
          <w:sz w:val="28"/>
          <w:szCs w:val="28"/>
        </w:rPr>
        <w:t xml:space="preserve">38 769,2 тыс. руб., что составляет 111,2 % к плану отчетного периода                     (</w:t>
      </w:r>
      <w:r>
        <w:rPr>
          <w:color w:val="auto"/>
          <w:sz w:val="28"/>
          <w:szCs w:val="28"/>
        </w:rPr>
        <w:t xml:space="preserve">124 830,9</w:t>
      </w:r>
      <w:r>
        <w:rPr>
          <w:color w:val="auto"/>
          <w:sz w:val="28"/>
          <w:szCs w:val="28"/>
        </w:rPr>
        <w:t xml:space="preserve"> тыс. руб.) и </w:t>
      </w:r>
      <w:r>
        <w:rPr>
          <w:color w:val="auto"/>
          <w:sz w:val="28"/>
          <w:szCs w:val="28"/>
        </w:rPr>
        <w:t xml:space="preserve">75,2 % к плану года (184 622,0 тыс. руб.). Относительно аналогичного периода прошлого года поступления по данному виду дохода составили </w:t>
      </w:r>
      <w:r>
        <w:rPr>
          <w:color w:val="auto"/>
          <w:sz w:val="28"/>
          <w:szCs w:val="28"/>
        </w:rPr>
        <w:t xml:space="preserve">94,3 %.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В том числе: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keepLines w:val="0"/>
        <w:tabs>
          <w:tab w:val="left" w:pos="0" w:leader="none"/>
          <w:tab w:val="left" w:pos="900" w:leader="none"/>
        </w:tabs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 д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оходы по договорам на размещение рекламных конструкций,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администри-руемые департаментом экономики и промышленной политики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поступили в сумме                     81 633,3 тыс. руб., что составляет 111,7 % к плану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(73 091,8                        тыс. руб.) и 79,7 % к плану года (102 367,9 тыс. руб.).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Перевыполнение плана связано                  с поступлением в отчетном периоде обеспечительных платежей, планируемых                          к поступлению в декабре 2023 года, и платы за сентябрь 2024 года;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keepLines w:val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- д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оходы по договорам на размещение нестационарных объектов, 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админист-рируемые департаментом экономики и промышленной политики,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поступили в сумме 11 183,7 тыс. руб., что в 1,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 раза превышает план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(7 899,8 тыс. руб.) и составляет 83,6 % к плану года (13 384,8 тыс. руб.).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keepLine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Перевыполнение плана по указанным доходам обусловлено поступлением авансовых платежей по договорам на размещение нестационарных торговых объектов.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7030a0"/>
          <w:sz w:val="24"/>
          <w:szCs w:val="24"/>
          <w:highlight w:val="white"/>
        </w:rPr>
      </w:pP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4"/>
          <w:szCs w:val="24"/>
          <w:highlight w:val="white"/>
        </w:rPr>
      </w:r>
      <w:r>
        <w:rPr>
          <w:color w:val="7030a0"/>
          <w:sz w:val="24"/>
          <w:szCs w:val="24"/>
          <w:highlight w:val="white"/>
        </w:rPr>
      </w:r>
    </w:p>
    <w:p>
      <w:pPr>
        <w:ind w:firstLine="0"/>
        <w:keepLines w:val="0"/>
        <w:spacing w:line="240" w:lineRule="auto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7030a0"/>
          <w:sz w:val="28"/>
          <w:szCs w:val="28"/>
          <w:highlight w:val="none"/>
        </w:rPr>
        <w:t xml:space="preserve">          </w:t>
      </w:r>
      <w:r>
        <w:rPr>
          <w:b/>
          <w:color w:val="auto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br/>
        <w:t xml:space="preserve">21 853,0 тыс. руб., что составляет 89,1 %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(24 531,6                       тыс. руб.) и 80,2 % от плана года (27 254,3 тыс. руб.). </w:t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</w:t>
      </w:r>
      <w:r>
        <w:rPr>
          <w:color w:val="auto"/>
          <w:sz w:val="28"/>
          <w:szCs w:val="28"/>
          <w:highlight w:val="white"/>
        </w:rPr>
        <w:t xml:space="preserve">величились в 2,5 ра</w:t>
      </w:r>
      <w:r>
        <w:rPr>
          <w:color w:val="auto"/>
          <w:sz w:val="28"/>
          <w:szCs w:val="28"/>
          <w:highlight w:val="white"/>
        </w:rPr>
        <w:t xml:space="preserve">за.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0"/>
        <w:keepLines w:val="0"/>
        <w:spacing w:line="240" w:lineRule="auto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  </w:t>
      </w:r>
      <w:r>
        <w:rPr>
          <w:rFonts w:eastAsia="Calibri"/>
          <w:color w:val="auto"/>
          <w:sz w:val="28"/>
          <w:szCs w:val="28"/>
          <w:highlight w:val="white"/>
        </w:rPr>
        <w:t xml:space="preserve">        В</w:t>
      </w:r>
      <w:r>
        <w:rPr>
          <w:color w:val="auto"/>
          <w:sz w:val="28"/>
          <w:szCs w:val="28"/>
          <w:highlight w:val="white"/>
        </w:rPr>
        <w:t xml:space="preserve">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highlight w:val="none"/>
        </w:rPr>
      </w:pPr>
      <w:r>
        <w:rPr>
          <w:b/>
          <w:bCs/>
          <w:color w:val="auto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auto"/>
          <w:sz w:val="28"/>
          <w:szCs w:val="28"/>
          <w:highlight w:val="white"/>
        </w:rPr>
        <w:t xml:space="preserve">администрируемая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auto"/>
          <w:sz w:val="28"/>
          <w:szCs w:val="28"/>
          <w:highlight w:val="white"/>
        </w:rPr>
        <w:t xml:space="preserve">Росприроднадзора,</w:t>
      </w:r>
      <w:r>
        <w:rPr>
          <w:color w:val="auto"/>
          <w:sz w:val="28"/>
          <w:szCs w:val="28"/>
          <w:highlight w:val="white"/>
        </w:rPr>
        <w:t xml:space="preserve"> поступила                в сумме</w:t>
      </w:r>
      <w:r>
        <w:rPr>
          <w:color w:val="auto"/>
          <w:sz w:val="28"/>
          <w:szCs w:val="28"/>
          <w:highlight w:val="white"/>
        </w:rPr>
        <w:t xml:space="preserve"> 19 902,1 тыс. руб., что составляет 85,9 %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(23 180,6 тыс. руб.) и 78,6 % от плана года (25 333,7 тыс. руб.)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Невыполнение плана обусловлено произведенным возвратом неверно зачисленной суммы;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keepLines w:val="0"/>
        <w:rPr>
          <w:color w:val="auto"/>
          <w:sz w:val="18"/>
          <w:szCs w:val="18"/>
          <w:highlight w:val="white"/>
        </w:rPr>
      </w:pPr>
      <w:r>
        <w:rPr>
          <w:sz w:val="16"/>
          <w:szCs w:val="16"/>
          <w:highlight w:val="none"/>
        </w:rPr>
      </w:r>
      <w:r>
        <w:rPr>
          <w:color w:val="auto"/>
          <w:sz w:val="18"/>
          <w:szCs w:val="18"/>
          <w:highlight w:val="white"/>
        </w:rPr>
      </w:r>
      <w:r>
        <w:rPr>
          <w:color w:val="auto"/>
          <w:sz w:val="18"/>
          <w:szCs w:val="1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rFonts w:eastAsia="Calibri"/>
          <w:b/>
          <w:bCs/>
          <w:color w:val="auto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auto"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 администрируемая управлением по экологии               и природопользованию,</w:t>
      </w:r>
      <w:r>
        <w:rPr>
          <w:rFonts w:eastAsia="Calibri"/>
          <w:color w:val="auto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1 </w:t>
      </w:r>
      <w:r>
        <w:rPr>
          <w:rFonts w:eastAsia="Calibri"/>
          <w:color w:val="auto"/>
          <w:sz w:val="28"/>
          <w:szCs w:val="28"/>
          <w:highlight w:val="white"/>
        </w:rPr>
        <w:t xml:space="preserve">950,9 тыс. руб., что в 1,4 раза превышает план отчетного периода (1 351,0 тыс. руб.) и составляет 101,6 % от плана года (1 920,6 тыс. руб.).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Перевыполнение плана связано в том числе с </w:t>
      </w:r>
      <w:r>
        <w:rPr>
          <w:color w:val="auto"/>
          <w:sz w:val="28"/>
          <w:szCs w:val="28"/>
          <w:highlight w:val="white"/>
        </w:rPr>
        <w:t xml:space="preserve">досрочной оплатой                                  по договорам аренды.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3 334 365,8 тыс. руб., что составляет </w:t>
      </w:r>
      <w:r>
        <w:rPr>
          <w:color w:val="auto"/>
          <w:sz w:val="28"/>
          <w:szCs w:val="28"/>
          <w:highlight w:val="white"/>
        </w:rPr>
        <w:t xml:space="preserve">10</w:t>
      </w:r>
      <w:r>
        <w:rPr>
          <w:color w:val="auto"/>
          <w:sz w:val="28"/>
          <w:szCs w:val="28"/>
          <w:highlight w:val="white"/>
        </w:rPr>
        <w:t xml:space="preserve">0,3 % к плану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white"/>
        </w:rPr>
        <w:t xml:space="preserve"> (3 323 980,1</w:t>
      </w:r>
      <w:r>
        <w:rPr>
          <w:color w:val="auto"/>
          <w:sz w:val="28"/>
          <w:szCs w:val="28"/>
          <w:highlight w:val="white"/>
        </w:rPr>
        <w:t xml:space="preserve"> тыс. руб.) и </w:t>
      </w:r>
      <w:r>
        <w:rPr>
          <w:color w:val="auto"/>
          <w:sz w:val="28"/>
          <w:szCs w:val="28"/>
          <w:highlight w:val="white"/>
        </w:rPr>
        <w:t xml:space="preserve">62,5 % к плану года (5 333 070,0 тыс. руб.). Относительно аналогичного периода прошлого года поступления по данному виду дохода составили 10</w:t>
      </w:r>
      <w:r>
        <w:rPr>
          <w:color w:val="auto"/>
          <w:sz w:val="28"/>
          <w:szCs w:val="28"/>
          <w:highlight w:val="white"/>
        </w:rPr>
        <w:t xml:space="preserve">5,5</w:t>
      </w:r>
      <w:r>
        <w:rPr>
          <w:color w:val="auto"/>
          <w:sz w:val="28"/>
          <w:szCs w:val="28"/>
          <w:highlight w:val="white"/>
        </w:rPr>
        <w:t xml:space="preserve">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0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bCs/>
          <w:i/>
          <w:color w:val="auto"/>
          <w:sz w:val="28"/>
          <w:szCs w:val="28"/>
          <w:highlight w:val="white"/>
        </w:rPr>
        <w:t xml:space="preserve">- средства от реализации проездных документов отдельным категориям граждан города Перми,</w:t>
      </w:r>
      <w:r>
        <w:rPr>
          <w:i/>
          <w:color w:val="auto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358 990,4</w:t>
      </w:r>
      <w:r>
        <w:rPr>
          <w:color w:val="auto"/>
          <w:sz w:val="28"/>
          <w:szCs w:val="28"/>
          <w:highlight w:val="white"/>
        </w:rPr>
        <w:t xml:space="preserve"> тыс. руб., или 106,7 % к плану 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color w:val="auto"/>
          <w:sz w:val="28"/>
          <w:szCs w:val="28"/>
          <w:highlight w:val="white"/>
        </w:rPr>
        <w:t xml:space="preserve">336 584,3</w:t>
      </w:r>
      <w:r>
        <w:rPr>
          <w:color w:val="auto"/>
          <w:sz w:val="28"/>
          <w:szCs w:val="28"/>
          <w:highlight w:val="white"/>
        </w:rPr>
        <w:t xml:space="preserve">                     тыс. руб.) и 60,2 % к плану года (596 188,0 тыс. руб.);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- средства от реализации единых проездных документов, а</w:t>
      </w:r>
      <w:r>
        <w:rPr>
          <w:i/>
          <w:color w:val="auto"/>
          <w:sz w:val="28"/>
          <w:szCs w:val="28"/>
          <w:highlight w:val="white"/>
        </w:rPr>
        <w:t xml:space="preserve">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259 916,4</w:t>
      </w:r>
      <w:r>
        <w:rPr>
          <w:color w:val="auto"/>
          <w:sz w:val="28"/>
          <w:szCs w:val="28"/>
          <w:highlight w:val="white"/>
        </w:rPr>
        <w:t xml:space="preserve"> тыс. руб., или 100,8 %                 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257 895,7</w:t>
      </w:r>
      <w:r>
        <w:rPr>
          <w:color w:val="auto"/>
          <w:sz w:val="28"/>
          <w:szCs w:val="28"/>
          <w:highlight w:val="white"/>
        </w:rPr>
        <w:t xml:space="preserve"> тыс. руб.) и 57,1 % к плану года (454 879,5                тыс. руб.);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i/>
          <w:color w:val="auto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сумме </w:t>
      </w:r>
      <w:r>
        <w:rPr>
          <w:color w:val="auto"/>
          <w:sz w:val="28"/>
          <w:szCs w:val="28"/>
          <w:highlight w:val="white"/>
        </w:rPr>
        <w:t xml:space="preserve">2 654 068,0</w:t>
      </w:r>
      <w:r>
        <w:rPr>
          <w:color w:val="auto"/>
          <w:sz w:val="28"/>
          <w:szCs w:val="28"/>
          <w:highlight w:val="white"/>
        </w:rPr>
        <w:t xml:space="preserve">               тыс. руб., или 98,1 %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2 705 079,8</w:t>
      </w:r>
      <w:r>
        <w:rPr>
          <w:color w:val="auto"/>
          <w:sz w:val="28"/>
          <w:szCs w:val="28"/>
          <w:highlight w:val="white"/>
        </w:rPr>
        <w:t xml:space="preserve"> тыс. руб.) и 62,4 %                   к пл</w:t>
      </w:r>
      <w:r>
        <w:rPr>
          <w:color w:val="auto"/>
          <w:sz w:val="28"/>
          <w:szCs w:val="28"/>
          <w:highlight w:val="white"/>
        </w:rPr>
        <w:t xml:space="preserve">ану года (4 256 276,0 тыс. руб.)</w:t>
      </w:r>
      <w:r>
        <w:rPr>
          <w:color w:val="auto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целом по доходам от платы за проезд выполнение составило 99,2 % от плана отчетного периода.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7030a0"/>
          <w:sz w:val="28"/>
          <w:szCs w:val="28"/>
          <w:highlight w:val="white"/>
        </w:rPr>
      </w:pP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8"/>
          <w:szCs w:val="28"/>
          <w:highlight w:val="white"/>
        </w:rPr>
      </w:r>
    </w:p>
    <w:p>
      <w:pPr>
        <w:ind w:firstLine="709"/>
        <w:keepLines w:val="0"/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поступили в сумм</w:t>
      </w:r>
      <w:r>
        <w:rPr>
          <w:color w:val="auto"/>
          <w:sz w:val="28"/>
          <w:szCs w:val="28"/>
          <w:highlight w:val="white"/>
        </w:rPr>
        <w:t xml:space="preserve">е                   </w:t>
      </w:r>
      <w:r>
        <w:rPr>
          <w:color w:val="auto"/>
          <w:sz w:val="28"/>
          <w:szCs w:val="28"/>
          <w:highlight w:val="white"/>
        </w:rPr>
        <w:t xml:space="preserve">162 </w:t>
      </w:r>
      <w:r>
        <w:rPr>
          <w:color w:val="auto"/>
          <w:sz w:val="28"/>
          <w:szCs w:val="28"/>
          <w:highlight w:val="white"/>
        </w:rPr>
        <w:t xml:space="preserve">634,9</w:t>
      </w:r>
      <w:r>
        <w:rPr>
          <w:color w:val="auto"/>
          <w:sz w:val="28"/>
          <w:szCs w:val="28"/>
          <w:highlight w:val="white"/>
        </w:rPr>
        <w:t xml:space="preserve"> тыс. руб., что на 60,6 % больше плана отчетного периода (</w:t>
      </w:r>
      <w:r>
        <w:rPr>
          <w:color w:val="auto"/>
          <w:sz w:val="28"/>
          <w:szCs w:val="28"/>
          <w:highlight w:val="white"/>
        </w:rPr>
        <w:t xml:space="preserve">101 280,0</w:t>
      </w:r>
      <w:r>
        <w:rPr>
          <w:color w:val="auto"/>
          <w:sz w:val="28"/>
          <w:szCs w:val="28"/>
          <w:highlight w:val="white"/>
        </w:rPr>
        <w:t xml:space="preserve"> тыс. руб.) и составляет 85,9 % к уточненному плану года (189 360,8 тыс. руб.).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100,6 %.</w:t>
      </w:r>
      <w:r>
        <w:rPr>
          <w:color w:val="auto"/>
          <w:sz w:val="28"/>
          <w:szCs w:val="28"/>
          <w:highlight w:val="none"/>
        </w:rPr>
        <w:t xml:space="preserve"> 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keepLines w:val="0"/>
        <w:spacing w:line="240" w:lineRule="auto"/>
        <w:tabs>
          <w:tab w:val="num" w:pos="0" w:leader="none"/>
          <w:tab w:val="left" w:pos="709" w:leader="none"/>
        </w:tabs>
        <w:rPr>
          <w:b/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28"/>
          <w:szCs w:val="28"/>
          <w:highlight w:val="white"/>
        </w:rPr>
      </w:r>
    </w:p>
    <w:p>
      <w:pPr>
        <w:contextualSpacing/>
        <w:ind w:firstLine="709"/>
        <w:keepLines w:val="0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платы за увеличение площади з</w:t>
      </w:r>
      <w:r>
        <w:rPr>
          <w:b/>
          <w:color w:val="auto"/>
          <w:sz w:val="28"/>
          <w:szCs w:val="28"/>
          <w:highlight w:val="white"/>
        </w:rPr>
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отношений</w:t>
      </w:r>
      <w:r>
        <w:rPr>
          <w:color w:val="auto"/>
          <w:sz w:val="28"/>
          <w:szCs w:val="28"/>
          <w:highlight w:val="white"/>
        </w:rPr>
        <w:t xml:space="preserve">, поступили в размере           </w:t>
      </w:r>
      <w:r>
        <w:rPr>
          <w:color w:val="auto"/>
          <w:sz w:val="28"/>
          <w:szCs w:val="28"/>
          <w:highlight w:val="white"/>
        </w:rPr>
        <w:t xml:space="preserve">92 781,5</w:t>
      </w:r>
      <w:r>
        <w:rPr>
          <w:color w:val="auto"/>
          <w:sz w:val="28"/>
          <w:szCs w:val="28"/>
          <w:highlight w:val="white"/>
        </w:rPr>
        <w:t xml:space="preserve"> тыс. руб., что в 2,1 раза выше плана отчетного периода 2024 года (</w:t>
      </w:r>
      <w:r>
        <w:rPr>
          <w:color w:val="auto"/>
          <w:sz w:val="28"/>
          <w:szCs w:val="28"/>
          <w:highlight w:val="white"/>
        </w:rPr>
        <w:t xml:space="preserve">43 550,0</w:t>
      </w:r>
      <w:r>
        <w:rPr>
          <w:color w:val="auto"/>
          <w:sz w:val="28"/>
          <w:szCs w:val="28"/>
          <w:highlight w:val="white"/>
        </w:rPr>
        <w:t xml:space="preserve"> тыс. руб.) и составляет 112,9 % к плану года (82 177,0 тыс. руб.).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keepLines w:val="0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Сумма поступивших доходов превышает объем поступлений аналогичного периода прошлого года в 1,8 раза.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18"/>
          <w:szCs w:val="18"/>
          <w:highlight w:val="white"/>
        </w:rPr>
      </w:pPr>
      <w:r>
        <w:rPr>
          <w:color w:val="auto"/>
          <w:sz w:val="18"/>
          <w:szCs w:val="18"/>
          <w:highlight w:val="white"/>
        </w:rPr>
      </w:r>
      <w:r>
        <w:rPr>
          <w:color w:val="auto"/>
          <w:sz w:val="18"/>
          <w:szCs w:val="18"/>
          <w:highlight w:val="white"/>
        </w:rPr>
      </w:r>
      <w:r>
        <w:rPr>
          <w:color w:val="auto"/>
          <w:sz w:val="18"/>
          <w:szCs w:val="1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auto"/>
          <w:sz w:val="28"/>
          <w:szCs w:val="28"/>
          <w:highlight w:val="white"/>
        </w:rPr>
        <w:t xml:space="preserve"> поступили в размере</w:t>
      </w:r>
      <w:r>
        <w:rPr>
          <w:color w:val="auto"/>
          <w:sz w:val="28"/>
          <w:szCs w:val="28"/>
          <w:highlight w:val="white"/>
        </w:rPr>
        <w:t xml:space="preserve"> 294 151,5 тыс. руб., что составляет 110,2 %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(267 001,4 тыс. руб.) и 93,7 % от уточненного плана года (314 008,0 тыс. руб.)</w:t>
      </w:r>
      <w:r>
        <w:rPr>
          <w:color w:val="auto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141,6 %.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/>
        <w:ind w:right="-1" w:firstLine="709"/>
        <w:keepLines w:val="0"/>
        <w:spacing w:line="240" w:lineRule="auto"/>
        <w:widowControl/>
        <w:rPr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auto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auto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auto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auto"/>
          <w:sz w:val="28"/>
          <w:szCs w:val="28"/>
          <w:highlight w:val="white"/>
        </w:rPr>
        <w:t xml:space="preserve">поступили доходы в сумме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272 787,9 тыс. руб., что в 1,1 раза превышает план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(243 570,4             тыс. руб.) и составляет 98,6 % от уточненного плана года (276 773,3 тыс. руб.).</w:t>
      </w:r>
      <w:r>
        <w:rPr>
          <w:bCs/>
          <w:color w:val="auto"/>
          <w:sz w:val="28"/>
          <w:szCs w:val="28"/>
          <w:highlight w:val="white"/>
        </w:rPr>
        <w:t xml:space="preserve"> </w:t>
      </w:r>
      <w:r>
        <w:rPr>
          <w:bCs/>
          <w:color w:val="auto"/>
          <w:sz w:val="28"/>
          <w:szCs w:val="28"/>
          <w:highlight w:val="white"/>
        </w:rPr>
        <w:t xml:space="preserve">Перевыполнение плана отчетного периода обусловлено реализацией муниципального имущества по цене выше запланированной.</w:t>
      </w:r>
      <w:r>
        <w:rPr>
          <w:bCs/>
          <w:color w:val="auto"/>
          <w:sz w:val="28"/>
          <w:szCs w:val="28"/>
          <w:highlight w:val="white"/>
        </w:rPr>
      </w:r>
      <w:r>
        <w:rPr>
          <w:bCs/>
          <w:color w:val="auto"/>
          <w:sz w:val="28"/>
          <w:szCs w:val="28"/>
          <w:highlight w:val="white"/>
        </w:rPr>
      </w:r>
    </w:p>
    <w:p>
      <w:pPr>
        <w:contextualSpacing/>
        <w:ind w:right="-1" w:firstLine="709"/>
        <w:keepLines w:val="0"/>
        <w:spacing w:line="240" w:lineRule="auto"/>
        <w:widowControl/>
        <w:rPr>
          <w:rFonts w:eastAsia="Calibri"/>
          <w:bCs/>
          <w:color w:val="auto"/>
          <w:sz w:val="28"/>
          <w:szCs w:val="28"/>
          <w:highlight w:val="white"/>
        </w:rPr>
      </w:pPr>
      <w:r>
        <w:rPr>
          <w:rFonts w:eastAsia="Calibri"/>
          <w:bCs/>
          <w:color w:val="auto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 21 363,6 тыс. руб., </w:t>
      </w:r>
      <w:r>
        <w:rPr>
          <w:color w:val="auto"/>
          <w:sz w:val="28"/>
          <w:szCs w:val="28"/>
          <w:highlight w:val="white"/>
        </w:rPr>
        <w:t xml:space="preserve">что составляет 94,9 % от плана отчетного периода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(22 511,0                         тыс. руб.) и 59,6 % от плана года (35 830,9 тыс. руб.). </w:t>
      </w:r>
      <w:r>
        <w:rPr>
          <w:rFonts w:eastAsia="Calibri"/>
          <w:bCs/>
          <w:color w:val="auto"/>
          <w:sz w:val="28"/>
          <w:szCs w:val="28"/>
          <w:highlight w:val="white"/>
        </w:rPr>
      </w:r>
      <w:r>
        <w:rPr>
          <w:rFonts w:eastAsia="Calibri"/>
          <w:bCs/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</w:tabs>
        <w:rPr>
          <w:b/>
          <w:color w:val="7030a0"/>
          <w:sz w:val="24"/>
          <w:szCs w:val="24"/>
          <w:highlight w:val="white"/>
        </w:rPr>
      </w:pP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4"/>
          <w:szCs w:val="24"/>
          <w:highlight w:val="white"/>
        </w:rPr>
      </w:r>
      <w:r>
        <w:rPr>
          <w:b/>
          <w:color w:val="7030a0"/>
          <w:sz w:val="24"/>
          <w:szCs w:val="24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Прочие неналоговые поступления бюджетов городских округов</w:t>
      </w:r>
      <w:r>
        <w:rPr>
          <w:color w:val="auto"/>
          <w:sz w:val="28"/>
          <w:szCs w:val="28"/>
          <w:highlight w:val="white"/>
        </w:rPr>
        <w:t xml:space="preserve"> поступили                в сумме </w:t>
      </w:r>
      <w:r>
        <w:rPr>
          <w:color w:val="auto"/>
          <w:sz w:val="28"/>
          <w:szCs w:val="28"/>
          <w:highlight w:val="white"/>
        </w:rPr>
        <w:t xml:space="preserve">89 082,3</w:t>
      </w:r>
      <w:r>
        <w:rPr>
          <w:color w:val="auto"/>
          <w:sz w:val="28"/>
          <w:szCs w:val="28"/>
          <w:highlight w:val="white"/>
        </w:rPr>
        <w:t xml:space="preserve"> тыс. руб., что составляет </w:t>
      </w:r>
      <w:r>
        <w:rPr>
          <w:color w:val="auto"/>
          <w:sz w:val="28"/>
          <w:szCs w:val="28"/>
          <w:highlight w:val="white"/>
        </w:rPr>
        <w:t xml:space="preserve">174,7</w:t>
      </w:r>
      <w:r>
        <w:rPr>
          <w:color w:val="auto"/>
          <w:sz w:val="28"/>
          <w:szCs w:val="28"/>
          <w:highlight w:val="white"/>
        </w:rPr>
        <w:t xml:space="preserve"> % </w:t>
      </w:r>
      <w:r>
        <w:rPr>
          <w:color w:val="auto"/>
          <w:sz w:val="28"/>
          <w:szCs w:val="28"/>
          <w:highlight w:val="white"/>
        </w:rPr>
        <w:t xml:space="preserve">к </w:t>
      </w:r>
      <w:r>
        <w:rPr>
          <w:color w:val="auto"/>
          <w:sz w:val="28"/>
          <w:szCs w:val="28"/>
          <w:highlight w:val="white"/>
        </w:rPr>
        <w:t xml:space="preserve">п</w:t>
      </w:r>
      <w:r>
        <w:rPr>
          <w:rFonts w:eastAsia="Calibri"/>
          <w:color w:val="auto"/>
          <w:sz w:val="28"/>
          <w:szCs w:val="28"/>
          <w:highlight w:val="white"/>
        </w:rPr>
        <w:t xml:space="preserve">лану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(</w:t>
      </w:r>
      <w:r>
        <w:rPr>
          <w:rFonts w:eastAsia="Calibri"/>
          <w:color w:val="auto"/>
          <w:sz w:val="28"/>
          <w:szCs w:val="28"/>
          <w:highlight w:val="white"/>
        </w:rPr>
        <w:t xml:space="preserve">51 000</w:t>
      </w:r>
      <w:r>
        <w:rPr>
          <w:rFonts w:eastAsia="Calibri"/>
          <w:color w:val="auto"/>
          <w:sz w:val="28"/>
          <w:szCs w:val="28"/>
          <w:highlight w:val="white"/>
        </w:rPr>
        <w:t xml:space="preserve">,0</w:t>
      </w:r>
      <w:r>
        <w:rPr>
          <w:rFonts w:eastAsia="Calibri"/>
          <w:color w:val="auto"/>
          <w:sz w:val="28"/>
          <w:szCs w:val="28"/>
          <w:highlight w:val="white"/>
        </w:rPr>
        <w:t xml:space="preserve"> тыс. руб.) и </w:t>
      </w:r>
      <w:r>
        <w:rPr>
          <w:rFonts w:eastAsia="Calibri"/>
          <w:color w:val="auto"/>
          <w:sz w:val="28"/>
          <w:szCs w:val="28"/>
          <w:highlight w:val="white"/>
        </w:rPr>
        <w:t xml:space="preserve">92,4 % от плана года (</w:t>
      </w:r>
      <w:r>
        <w:rPr>
          <w:rFonts w:eastAsia="Calibri"/>
          <w:color w:val="auto"/>
          <w:sz w:val="28"/>
          <w:szCs w:val="28"/>
          <w:highlight w:val="white"/>
        </w:rPr>
        <w:t xml:space="preserve">96 434,8</w:t>
      </w:r>
      <w:r>
        <w:rPr>
          <w:rFonts w:eastAsia="Calibri"/>
          <w:color w:val="auto"/>
          <w:sz w:val="28"/>
          <w:szCs w:val="28"/>
          <w:highlight w:val="white"/>
        </w:rPr>
        <w:t xml:space="preserve"> тыс. руб.)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Относительно аналогичного периода прошлого года поступления по данному виду дохода составили </w:t>
      </w:r>
      <w:r>
        <w:rPr>
          <w:color w:val="auto"/>
          <w:sz w:val="28"/>
          <w:szCs w:val="28"/>
          <w:highlight w:val="white"/>
        </w:rPr>
        <w:t xml:space="preserve">190,1</w:t>
      </w:r>
      <w:r>
        <w:rPr>
          <w:color w:val="auto"/>
          <w:sz w:val="28"/>
          <w:szCs w:val="28"/>
          <w:highlight w:val="white"/>
        </w:rPr>
        <w:t xml:space="preserve"> %.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keepLines w:val="0"/>
        <w:spacing w:line="276" w:lineRule="auto"/>
        <w:tabs>
          <w:tab w:val="left" w:pos="709" w:leader="none"/>
        </w:tabs>
        <w:rPr>
          <w:color w:val="auto"/>
          <w:highlight w:val="white"/>
        </w:rPr>
      </w:pPr>
      <w:r>
        <w:rPr>
          <w:b/>
          <w:i/>
          <w:color w:val="auto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восстановительная стоимость зеленых насаждений, </w:t>
      </w:r>
      <w:r>
        <w:rPr>
          <w:i/>
          <w:color w:val="auto"/>
          <w:sz w:val="28"/>
          <w:szCs w:val="28"/>
          <w:highlight w:val="white"/>
        </w:rPr>
        <w:t xml:space="preserve">администрируемая управлением по экологии и природопользованию, </w:t>
      </w:r>
      <w:r>
        <w:rPr>
          <w:rFonts w:eastAsia="Calibri"/>
          <w:bCs/>
          <w:i/>
          <w:color w:val="auto"/>
          <w:sz w:val="28"/>
          <w:szCs w:val="28"/>
          <w:highlight w:val="white"/>
        </w:rPr>
        <w:t xml:space="preserve">поступила в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сум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м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е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41 649,3 тыс. руб.,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что в 2,1 раза превышает план отчетного периода (20 200,0 тыс. руб.) и составляет 82,9 % от уточненного плана года (50 222,8 тыс. руб.). Перевыполнение плана связано    с п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оступлениями от крупных предприятий в сфере ЖКХ и строительства.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032"/>
        <w:ind w:firstLine="709"/>
        <w:spacing w:line="240" w:lineRule="atLeas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pStyle w:val="1032"/>
        <w:numPr>
          <w:ilvl w:val="0"/>
          <w:numId w:val="38"/>
        </w:numPr>
        <w:jc w:val="center"/>
        <w:spacing w:line="240" w:lineRule="atLeas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ИСПОЛНЕНИЕ БЮДЖЕТА ПО РАСХОДАМ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1032"/>
        <w:jc w:val="center"/>
        <w:spacing w:line="276" w:lineRule="auto"/>
        <w:rPr>
          <w:color w:val="000000" w:themeColor="text1"/>
          <w:szCs w:val="28"/>
        </w:rPr>
      </w:pPr>
      <w:r>
        <w:rPr>
          <w:color w:val="auto"/>
          <w:szCs w:val="28"/>
        </w:rPr>
        <w:t xml:space="preserve">   (приложение </w:t>
      </w:r>
      <w:r>
        <w:rPr>
          <w:color w:val="auto"/>
          <w:szCs w:val="28"/>
        </w:rPr>
        <w:t xml:space="preserve">2</w:t>
      </w:r>
      <w:r>
        <w:rPr>
          <w:color w:val="auto"/>
          <w:szCs w:val="28"/>
        </w:rPr>
        <w:t xml:space="preserve"> к пояснитель</w:t>
      </w:r>
      <w:r>
        <w:rPr>
          <w:color w:val="000000" w:themeColor="text1"/>
          <w:szCs w:val="28"/>
        </w:rPr>
        <w:t xml:space="preserve">ной записке)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1032"/>
        <w:jc w:val="center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32"/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 xml:space="preserve">сентября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составил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32 347 780,0 </w:t>
      </w:r>
      <w:r>
        <w:rPr>
          <w:color w:val="000000" w:themeColor="text1"/>
          <w:sz w:val="28"/>
          <w:szCs w:val="28"/>
        </w:rPr>
        <w:t xml:space="preserve">тыс</w:t>
      </w:r>
      <w:r>
        <w:rPr>
          <w:color w:val="000000" w:themeColor="text1"/>
          <w:sz w:val="28"/>
          <w:szCs w:val="28"/>
        </w:rPr>
        <w:t xml:space="preserve">. руб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</w:t>
      </w:r>
      <w:r>
        <w:rPr>
          <w:b/>
          <w:color w:val="000000" w:themeColor="text1"/>
          <w:sz w:val="28"/>
          <w:szCs w:val="28"/>
        </w:rPr>
        <w:t xml:space="preserve">5,7</w:t>
      </w:r>
      <w:r>
        <w:rPr>
          <w:b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от кассового</w:t>
      </w:r>
      <w:r>
        <w:rPr>
          <w:color w:val="000000" w:themeColor="text1"/>
          <w:sz w:val="28"/>
          <w:szCs w:val="28"/>
        </w:rPr>
        <w:t xml:space="preserve"> плана отчетного периода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33 789 500,5 </w:t>
      </w:r>
      <w:r>
        <w:rPr>
          <w:color w:val="000000" w:themeColor="text1"/>
          <w:sz w:val="28"/>
          <w:szCs w:val="28"/>
        </w:rPr>
        <w:t xml:space="preserve">тыс. руб</w:t>
      </w:r>
      <w:r>
        <w:rPr>
          <w:color w:val="000000" w:themeColor="text1"/>
          <w:sz w:val="28"/>
          <w:szCs w:val="28"/>
        </w:rPr>
        <w:t xml:space="preserve">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56,5 % </w:t>
      </w:r>
      <w:r>
        <w:rPr>
          <w:color w:val="000000" w:themeColor="text1"/>
          <w:sz w:val="28"/>
          <w:szCs w:val="28"/>
        </w:rPr>
        <w:t xml:space="preserve">от годовых</w:t>
      </w:r>
      <w:r>
        <w:rPr>
          <w:color w:val="000000" w:themeColor="text1"/>
          <w:sz w:val="28"/>
          <w:szCs w:val="28"/>
        </w:rPr>
        <w:t xml:space="preserve"> ассигнований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57 233 469,4 </w:t>
      </w:r>
      <w:r>
        <w:rPr>
          <w:color w:val="000000" w:themeColor="text1"/>
          <w:sz w:val="28"/>
          <w:szCs w:val="28"/>
        </w:rPr>
        <w:t xml:space="preserve">тыс. руб.).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Исполнение </w:t>
      </w:r>
      <w:r>
        <w:rPr>
          <w:color w:val="000000" w:themeColor="text1"/>
          <w:sz w:val="28"/>
          <w:szCs w:val="28"/>
        </w:rPr>
        <w:t xml:space="preserve">по расходам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года составляло </w:t>
      </w:r>
      <w:r>
        <w:rPr>
          <w:color w:val="000000" w:themeColor="text1"/>
          <w:sz w:val="28"/>
          <w:szCs w:val="28"/>
        </w:rPr>
        <w:t xml:space="preserve">31 127 854,9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94,0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кассового</w:t>
      </w:r>
      <w:r>
        <w:rPr>
          <w:color w:val="000000" w:themeColor="text1"/>
          <w:sz w:val="28"/>
          <w:szCs w:val="28"/>
        </w:rPr>
        <w:t xml:space="preserve"> плана</w:t>
      </w:r>
      <w:r>
        <w:rPr>
          <w:color w:val="000000" w:themeColor="text1"/>
          <w:sz w:val="28"/>
          <w:szCs w:val="28"/>
        </w:rPr>
        <w:t xml:space="preserve"> отчетного периода 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и </w:t>
      </w:r>
      <w:r>
        <w:rPr>
          <w:b/>
          <w:color w:val="000000" w:themeColor="text1"/>
          <w:sz w:val="28"/>
          <w:szCs w:val="28"/>
        </w:rPr>
        <w:t xml:space="preserve">53,4 %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годовых</w:t>
      </w:r>
      <w:r>
        <w:rPr>
          <w:color w:val="000000" w:themeColor="text1"/>
          <w:sz w:val="28"/>
          <w:szCs w:val="28"/>
        </w:rPr>
        <w:t xml:space="preserve"> ассигнований.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32"/>
        <w:spacing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1032"/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Расходная часть бюджета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года в разрезе источников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финансирования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16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32"/>
        <w:ind w:firstLine="709"/>
        <w:spacing w:line="240" w:lineRule="atLeast"/>
        <w:rPr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pStyle w:val="1032"/>
        <w:ind w:firstLine="709"/>
        <w:spacing w:line="240" w:lineRule="atLeast"/>
        <w:rPr>
          <w:b/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 xml:space="preserve">2.1. за счет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</w:rPr>
        <w:t xml:space="preserve">- кассовое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составляет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17 362 120,9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руб., или </w:t>
      </w:r>
      <w:r>
        <w:rPr>
          <w:b/>
          <w:color w:val="000000" w:themeColor="text1"/>
          <w:sz w:val="28"/>
          <w:szCs w:val="28"/>
        </w:rPr>
        <w:t xml:space="preserve">94,2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от кассового</w:t>
      </w:r>
      <w:r>
        <w:rPr>
          <w:color w:val="000000" w:themeColor="text1"/>
          <w:sz w:val="28"/>
          <w:szCs w:val="28"/>
        </w:rPr>
        <w:t xml:space="preserve"> плана</w:t>
      </w:r>
      <w:r>
        <w:rPr>
          <w:color w:val="000000" w:themeColor="text1"/>
          <w:sz w:val="28"/>
          <w:szCs w:val="28"/>
        </w:rPr>
        <w:t xml:space="preserve"> отчетного периода –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18 435 025,3 </w:t>
      </w:r>
      <w:r>
        <w:rPr>
          <w:color w:val="000000" w:themeColor="text1"/>
          <w:sz w:val="28"/>
          <w:szCs w:val="28"/>
        </w:rPr>
        <w:t xml:space="preserve">тыс. руб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53,7 %</w:t>
      </w:r>
      <w:r>
        <w:rPr>
          <w:color w:val="000000" w:themeColor="text1"/>
          <w:sz w:val="28"/>
          <w:szCs w:val="28"/>
        </w:rPr>
        <w:t xml:space="preserve"> от годовых ассигнований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Исполнение расходов                     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составляло </w:t>
      </w:r>
      <w:r>
        <w:rPr>
          <w:color w:val="000000" w:themeColor="text1"/>
          <w:sz w:val="28"/>
          <w:szCs w:val="28"/>
        </w:rPr>
        <w:t xml:space="preserve">17 649 293,5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91,9</w:t>
      </w:r>
      <w:r>
        <w:rPr>
          <w:b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от кассового</w:t>
      </w:r>
      <w:r>
        <w:rPr>
          <w:color w:val="000000" w:themeColor="text1"/>
          <w:sz w:val="28"/>
          <w:szCs w:val="28"/>
        </w:rPr>
        <w:t xml:space="preserve"> плана отчетного периода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58,3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от годовых ассиг</w:t>
      </w:r>
      <w:r>
        <w:rPr>
          <w:color w:val="000000" w:themeColor="text1"/>
          <w:sz w:val="28"/>
          <w:szCs w:val="28"/>
        </w:rPr>
        <w:t xml:space="preserve">нований.      </w:t>
      </w:r>
      <w:r>
        <w:rPr>
          <w:b/>
          <w:bCs/>
          <w:color w:val="000000" w:themeColor="text1"/>
          <w:sz w:val="20"/>
          <w:szCs w:val="20"/>
        </w:rPr>
        <w:t xml:space="preserve">       </w:t>
      </w:r>
      <w:r>
        <w:rPr>
          <w:b/>
          <w:bCs/>
          <w:color w:val="000000" w:themeColor="text1"/>
          <w:sz w:val="20"/>
          <w:szCs w:val="20"/>
        </w:rPr>
      </w:r>
      <w:r>
        <w:rPr>
          <w:b/>
          <w:bCs/>
          <w:color w:val="000000" w:themeColor="text1"/>
          <w:sz w:val="20"/>
          <w:szCs w:val="20"/>
        </w:rPr>
      </w:r>
    </w:p>
    <w:p>
      <w:pPr>
        <w:pStyle w:val="1032"/>
        <w:ind w:firstLine="709"/>
        <w:spacing w:line="240" w:lineRule="atLeast"/>
        <w:tabs>
          <w:tab w:val="right" w:pos="10488" w:leader="none"/>
        </w:tabs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</w:t>
      </w:r>
      <w:r>
        <w:rPr>
          <w:b/>
          <w:bCs/>
          <w:color w:val="000000" w:themeColor="text1"/>
          <w:sz w:val="16"/>
          <w:szCs w:val="20"/>
        </w:rPr>
        <w:t xml:space="preserve">   </w:t>
      </w: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</w:r>
      <w:r>
        <w:rPr>
          <w:b/>
          <w:bCs/>
          <w:color w:val="000000" w:themeColor="text1"/>
          <w:sz w:val="20"/>
          <w:szCs w:val="20"/>
        </w:rPr>
      </w:r>
    </w:p>
    <w:p>
      <w:pPr>
        <w:pStyle w:val="1032"/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</w:rPr>
        <w:t xml:space="preserve"> кассовое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составляет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9 568 650,9 </w:t>
      </w:r>
      <w:r>
        <w:rPr>
          <w:color w:val="000000" w:themeColor="text1"/>
          <w:sz w:val="28"/>
          <w:szCs w:val="28"/>
        </w:rPr>
        <w:t xml:space="preserve">тыс. руб.,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98,3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b/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от кассового плана отчетного периода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9 737 205,7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65,2 %</w:t>
      </w:r>
      <w:r>
        <w:rPr>
          <w:color w:val="000000" w:themeColor="text1"/>
          <w:sz w:val="28"/>
          <w:szCs w:val="28"/>
        </w:rPr>
        <w:t xml:space="preserve"> от годовых</w:t>
      </w:r>
      <w:r>
        <w:rPr>
          <w:color w:val="000000" w:themeColor="text1"/>
          <w:sz w:val="28"/>
          <w:szCs w:val="28"/>
        </w:rPr>
        <w:t xml:space="preserve"> ассигнований. </w:t>
      </w:r>
      <w:r>
        <w:rPr>
          <w:color w:val="000000" w:themeColor="text1"/>
          <w:sz w:val="28"/>
          <w:szCs w:val="28"/>
        </w:rPr>
        <w:t xml:space="preserve">Исполнение расходов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года составляло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8 354 868,0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99,2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от кассового</w:t>
      </w:r>
      <w:r>
        <w:rPr>
          <w:color w:val="000000" w:themeColor="text1"/>
          <w:sz w:val="28"/>
          <w:szCs w:val="28"/>
        </w:rPr>
        <w:t xml:space="preserve"> плана отчетного периода 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64,0 %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от годовых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ссигнований.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32"/>
        <w:ind w:firstLine="709"/>
        <w:spacing w:line="240" w:lineRule="atLeas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</w:r>
      <w:r>
        <w:rPr>
          <w:color w:val="000000" w:themeColor="text1"/>
          <w:sz w:val="20"/>
          <w:szCs w:val="16"/>
        </w:rPr>
      </w:r>
      <w:r>
        <w:rPr>
          <w:color w:val="000000" w:themeColor="text1"/>
          <w:sz w:val="20"/>
          <w:szCs w:val="16"/>
        </w:rPr>
      </w:r>
    </w:p>
    <w:p>
      <w:pPr>
        <w:pStyle w:val="1032"/>
        <w:ind w:firstLine="720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color w:val="000000" w:themeColor="text1"/>
          <w:sz w:val="28"/>
          <w:szCs w:val="28"/>
        </w:rPr>
        <w:t xml:space="preserve">кассовое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составляет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5 417 008,2                   </w:t>
      </w:r>
      <w:r>
        <w:rPr>
          <w:color w:val="000000" w:themeColor="text1"/>
          <w:sz w:val="28"/>
          <w:szCs w:val="28"/>
        </w:rPr>
        <w:t xml:space="preserve">тыс</w:t>
      </w:r>
      <w:r>
        <w:rPr>
          <w:color w:val="000000" w:themeColor="text1"/>
          <w:sz w:val="28"/>
          <w:szCs w:val="28"/>
        </w:rPr>
        <w:t xml:space="preserve">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96</w:t>
      </w:r>
      <w:r>
        <w:rPr>
          <w:b/>
          <w:color w:val="000000" w:themeColor="text1"/>
          <w:sz w:val="28"/>
          <w:szCs w:val="28"/>
        </w:rPr>
        <w:t xml:space="preserve">,4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от кассового</w:t>
      </w:r>
      <w:r>
        <w:rPr>
          <w:color w:val="000000" w:themeColor="text1"/>
          <w:sz w:val="28"/>
          <w:szCs w:val="28"/>
        </w:rPr>
        <w:t xml:space="preserve"> плана отчетного</w:t>
      </w:r>
      <w:r>
        <w:rPr>
          <w:color w:val="000000" w:themeColor="text1"/>
          <w:sz w:val="28"/>
          <w:szCs w:val="28"/>
        </w:rPr>
        <w:t xml:space="preserve"> периода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5 617 269,6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53,1 %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одовых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ассигнований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Исполнение расходов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года составляло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5 123 693,4 </w:t>
      </w:r>
      <w:r>
        <w:rPr>
          <w:color w:val="000000" w:themeColor="text1"/>
          <w:sz w:val="28"/>
          <w:szCs w:val="28"/>
        </w:rPr>
        <w:t xml:space="preserve">тыс.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93,4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t xml:space="preserve">от кассового плана</w:t>
      </w:r>
      <w:r>
        <w:rPr>
          <w:color w:val="000000" w:themeColor="text1"/>
          <w:sz w:val="28"/>
          <w:szCs w:val="28"/>
        </w:rPr>
        <w:t xml:space="preserve"> отчетного периода 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b/>
          <w:color w:val="000000" w:themeColor="text1"/>
          <w:sz w:val="28"/>
          <w:szCs w:val="28"/>
        </w:rPr>
        <w:t xml:space="preserve"> 34,4 </w:t>
      </w:r>
      <w:r>
        <w:rPr>
          <w:b/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t xml:space="preserve">от годовых</w:t>
      </w:r>
      <w:r>
        <w:rPr>
          <w:color w:val="000000" w:themeColor="text1"/>
          <w:sz w:val="28"/>
          <w:szCs w:val="28"/>
        </w:rPr>
        <w:t xml:space="preserve"> ассигновани</w:t>
      </w:r>
      <w:r>
        <w:rPr>
          <w:color w:val="000000" w:themeColor="text1"/>
          <w:sz w:val="28"/>
          <w:szCs w:val="28"/>
        </w:rPr>
        <w:t xml:space="preserve">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32"/>
        <w:ind w:firstLine="720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32"/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Расходная часть бюджета за </w:t>
      </w:r>
      <w:r>
        <w:rPr>
          <w:color w:val="000000" w:themeColor="text1"/>
          <w:sz w:val="28"/>
          <w:szCs w:val="28"/>
        </w:rPr>
        <w:t xml:space="preserve">январь-август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года по источникам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2.1.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</w:p>
    <w:p>
      <w:pPr>
        <w:ind w:firstLine="709"/>
        <w:spacing w:line="240" w:lineRule="auto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99,99 %;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4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дорог и благоустройства – на уровне 99,5 %;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– на уровне 99,1 %;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4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социальной политики – на уровне 98,7 %;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контрольным департаментом – на уровне 98,4 %;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Дзержинского района – на уровне 98,3 %;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администрацией Орджоникидзевского района – на уровне 98,1 %;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40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ем жилищных отношений – на уровне 97,5 %;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5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градостроительства и архитектуры – на уровне </w:t>
      </w:r>
      <w:r>
        <w:rPr>
          <w:sz w:val="28"/>
          <w:szCs w:val="28"/>
        </w:rPr>
        <w:t xml:space="preserve">96,9 %;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комитетом по физической культуре и спорту – на уровне 96,6 %;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96,5 %;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общественной безопасности – на уровне 96,3 %;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культуры и молодежной политики – на уровне 95,7 %;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финансов – на уровне 95,56 %;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2"/>
        <w:numPr>
          <w:ilvl w:val="0"/>
          <w:numId w:val="6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экономики и промышленной политики – на уровне 95,55 %;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auto"/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contextualSpacing w:val="0"/>
        <w:ind w:left="0"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b/>
          <w:sz w:val="28"/>
        </w:rPr>
        <w:t xml:space="preserve">ниже уровня </w:t>
      </w:r>
      <w:r>
        <w:rPr>
          <w:b/>
          <w:sz w:val="28"/>
        </w:rPr>
        <w:t xml:space="preserve">95,0 </w:t>
      </w:r>
      <w:r>
        <w:rPr>
          <w:b/>
          <w:sz w:val="28"/>
        </w:rPr>
        <w:t xml:space="preserve">% </w:t>
      </w:r>
      <w:r>
        <w:rPr>
          <w:sz w:val="28"/>
          <w:szCs w:val="28"/>
        </w:rPr>
        <w:t xml:space="preserve">сложилось исполнение у следующих главных </w:t>
      </w:r>
      <w:r>
        <w:rPr>
          <w:sz w:val="28"/>
          <w:szCs w:val="28"/>
        </w:rPr>
        <w:t xml:space="preserve">распорядителей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8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департамента транспорта – на уровне 94,2 %;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82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администраци</w:t>
      </w:r>
      <w:r>
        <w:rPr>
          <w:sz w:val="28"/>
        </w:rPr>
        <w:t xml:space="preserve">и</w:t>
      </w:r>
      <w:r>
        <w:rPr>
          <w:sz w:val="28"/>
        </w:rPr>
        <w:t xml:space="preserve"> Индустриального района – на уровне 92,9 %;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8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имущественных отношений – на уровне 92,2 %;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5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контрольно–счетной палаты города – на уровне 90,1 %;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Кировского района – на уровне 89,2 %;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– на уровне 86,7 %;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86,3 %;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п. Новые Ляды – на уровне 86,0 %;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– на уровне 84,3 %;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5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капитального строительства – на уровне 82,6 %;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77,1 %;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72,9 %;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 – на уровне </w:t>
      </w:r>
      <w:r>
        <w:rPr>
          <w:sz w:val="28"/>
          <w:szCs w:val="28"/>
        </w:rPr>
        <w:t xml:space="preserve">52,0 %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 w:firstLine="0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83" w:lineRule="atLeas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83" w:lineRule="atLeast"/>
        <w:rPr>
          <w:b/>
          <w:bCs/>
          <w:sz w:val="16"/>
          <w:szCs w:val="16"/>
        </w:rPr>
        <w:suppressLineNumbers w:val="0"/>
      </w:pP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contextualSpacing w:val="0"/>
        <w:ind w:left="0" w:firstLine="363"/>
        <w:jc w:val="both"/>
        <w:spacing w:before="0" w:after="0" w:line="283" w:lineRule="atLeast"/>
        <w:rPr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    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b/>
        </w:rPr>
      </w:pPr>
      <w:r>
        <w:rPr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b/>
        </w:rPr>
      </w:r>
      <w:r>
        <w:rPr>
          <w:b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департаментом общественной безопасности – на уровне 99,9 %;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департаментом жилищно-коммунального хозяйства – на уровне 99,5 %;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</w:t>
      </w:r>
      <w:r>
        <w:rPr>
          <w:sz w:val="28"/>
          <w:szCs w:val="28"/>
        </w:rPr>
        <w:t xml:space="preserve">99,1 %;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97,4 %;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96,9 %;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Дзержинского района – на уровне 96,8 %;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spacing w:line="240" w:lineRule="auto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firstLine="709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контрольного департамента – на уровне 93,6 %;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Индустриального района – на уровне 91,3 %;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Ляды – на уровне 90,7 %;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Кировского района – на уровне 89,4 %;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</w:t>
      </w:r>
      <w:r>
        <w:rPr>
          <w:sz w:val="28"/>
          <w:szCs w:val="28"/>
        </w:rPr>
        <w:t xml:space="preserve">87,5 %;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</w:t>
      </w:r>
      <w:r>
        <w:rPr>
          <w:sz w:val="28"/>
          <w:szCs w:val="28"/>
        </w:rPr>
        <w:t xml:space="preserve"> 84,2 %;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4"/>
        </w:numPr>
        <w:spacing w:line="240" w:lineRule="auto"/>
        <w:rPr>
          <w:b/>
        </w:rPr>
      </w:pPr>
      <w:r>
        <w:rPr>
          <w:sz w:val="28"/>
          <w:szCs w:val="28"/>
        </w:rPr>
        <w:t xml:space="preserve">управления жилищных отношений – на уровне </w:t>
      </w:r>
      <w:r>
        <w:rPr>
          <w:sz w:val="28"/>
          <w:szCs w:val="28"/>
        </w:rPr>
        <w:t xml:space="preserve">80,6 %;</w:t>
      </w:r>
      <w:r>
        <w:rPr>
          <w:b/>
        </w:rPr>
      </w:r>
      <w:r>
        <w:rPr>
          <w:b/>
        </w:rPr>
      </w:r>
    </w:p>
    <w:p>
      <w:pPr>
        <w:pStyle w:val="10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транспорта – на уровне 79,7 %;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администрации Ленинского района – на уровне 76,8 %;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3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департамента социальной политики – на уровне 75,5 %;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62"/>
        </w:numPr>
        <w:contextualSpacing w:val="0"/>
        <w:jc w:val="both"/>
        <w:spacing w:line="240" w:lineRule="atLeast"/>
        <w:tabs>
          <w:tab w:val="num" w:pos="720" w:leader="none"/>
        </w:tabs>
        <w:rPr>
          <w:b/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департамента дорог и благоустройства – на уровне </w:t>
      </w:r>
      <w:r>
        <w:rPr>
          <w:sz w:val="28"/>
          <w:szCs w:val="28"/>
        </w:rPr>
        <w:t xml:space="preserve">68,8 %.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360" w:firstLine="0"/>
        <w:jc w:val="both"/>
        <w:spacing w:line="240" w:lineRule="atLeast"/>
        <w:tabs>
          <w:tab w:val="num" w:pos="720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tabs>
          <w:tab w:val="num" w:pos="720" w:leader="none"/>
        </w:tabs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ab/>
        <w:t xml:space="preserve">2.3. Исполнение расходов по средствам, переданным из краевого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tabs>
          <w:tab w:val="num" w:pos="720" w:leader="none"/>
        </w:tabs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на выполнение полномо</w:t>
      </w:r>
      <w:r>
        <w:rPr>
          <w:b/>
          <w:sz w:val="28"/>
          <w:szCs w:val="28"/>
        </w:rPr>
        <w:t xml:space="preserve">чий городского</w:t>
      </w:r>
      <w:r>
        <w:rPr>
          <w:b/>
          <w:sz w:val="28"/>
          <w:szCs w:val="28"/>
        </w:rPr>
        <w:t xml:space="preserve"> округа: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line="240" w:lineRule="auto"/>
        <w:rPr>
          <w:b/>
          <w:bCs/>
          <w:sz w:val="16"/>
          <w:szCs w:val="16"/>
        </w:rPr>
        <w:suppressLineNumbers w:val="0"/>
      </w:pPr>
      <w:r>
        <w:rPr>
          <w:sz w:val="16"/>
          <w:szCs w:val="16"/>
          <w:highlight w:val="none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contextualSpacing w:val="0"/>
        <w:ind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numPr>
          <w:ilvl w:val="0"/>
          <w:numId w:val="1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культуры и молодежной политики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8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Дзержинского района – на уровне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0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администрацией Кировского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8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администрацией Мотовилихинского района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0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транспорта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4"/>
        </w:numPr>
        <w:contextualSpacing w:val="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администрацией города – на уровне</w:t>
      </w:r>
      <w:r>
        <w:t xml:space="preserve"> </w:t>
      </w:r>
      <w:r>
        <w:rPr>
          <w:sz w:val="28"/>
          <w:szCs w:val="28"/>
        </w:rPr>
        <w:t xml:space="preserve">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3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8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социальной политики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5"/>
        </w:numPr>
        <w:contextualSpacing w:val="0"/>
        <w:jc w:val="both"/>
        <w:spacing w:line="240" w:lineRule="auto"/>
        <w:rPr>
          <w:sz w:val="28"/>
        </w:rPr>
        <w:suppressLineNumbers w:val="0"/>
      </w:pPr>
      <w:r>
        <w:rPr>
          <w:sz w:val="28"/>
          <w:szCs w:val="28"/>
        </w:rPr>
        <w:t xml:space="preserve">департаментом общественной безопасности – на уровне 99,98 %;</w:t>
      </w:r>
      <w:r>
        <w:rPr>
          <w:sz w:val="28"/>
        </w:rPr>
      </w:r>
      <w:r>
        <w:rPr>
          <w:sz w:val="28"/>
        </w:rPr>
      </w:r>
    </w:p>
    <w:p>
      <w:pPr>
        <w:pStyle w:val="1032"/>
        <w:numPr>
          <w:ilvl w:val="0"/>
          <w:numId w:val="71"/>
        </w:numPr>
        <w:contextualSpacing w:val="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образования – на уровне 99,8 %;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6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дорог и благоустройства – на уровне 99,4 %;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69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Индустриального района – на уровне </w:t>
      </w:r>
      <w:r>
        <w:rPr>
          <w:sz w:val="28"/>
          <w:szCs w:val="28"/>
        </w:rPr>
        <w:t xml:space="preserve">98,1 %;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77"/>
        </w:numPr>
        <w:contextualSpacing w:val="0"/>
        <w:jc w:val="both"/>
        <w:rPr>
          <w:b/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управлением жилищных отношений – на уровне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97,8 %;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83" w:lineRule="atLeast"/>
        <w:rPr>
          <w:sz w:val="16"/>
          <w:szCs w:val="16"/>
        </w:rPr>
        <w:suppressLineNumbers w:val="0"/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 w:val="0"/>
        <w:ind w:left="0" w:firstLine="709"/>
        <w:jc w:val="both"/>
        <w:spacing w:before="0" w:after="0" w:line="283" w:lineRule="atLeast"/>
        <w:rPr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numPr>
          <w:ilvl w:val="0"/>
          <w:numId w:val="79"/>
        </w:numPr>
        <w:contextualSpacing w:val="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</w:rPr>
        <w:t xml:space="preserve">управления по экологии и природопользованию – на уровне </w:t>
      </w:r>
      <w:r>
        <w:rPr>
          <w:sz w:val="28"/>
        </w:rPr>
        <w:t xml:space="preserve">92,9 %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80"/>
        </w:numPr>
        <w:contextualSpacing w:val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администрации Свердловского района – на уровне </w:t>
      </w:r>
      <w:r>
        <w:rPr>
          <w:sz w:val="28"/>
          <w:szCs w:val="28"/>
        </w:rPr>
        <w:t xml:space="preserve">92,8 %;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numPr>
          <w:ilvl w:val="0"/>
          <w:numId w:val="1"/>
        </w:numPr>
        <w:contextualSpacing w:val="0"/>
        <w:jc w:val="both"/>
        <w:rPr>
          <w:b/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 xml:space="preserve">ого строительства – на уровне 88,2 %.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360"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83" w:lineRule="atLeast"/>
        <w:rPr>
          <w:sz w:val="28"/>
          <w:szCs w:val="28"/>
          <w:highlight w:val="none"/>
        </w:rPr>
        <w:suppressLineNumbers w:val="0"/>
      </w:pPr>
      <w:r>
        <w:rPr>
          <w:b/>
          <w:sz w:val="28"/>
        </w:rPr>
        <w:t xml:space="preserve">Кассовый расход не</w:t>
      </w:r>
      <w:r>
        <w:rPr>
          <w:b/>
          <w:sz w:val="28"/>
        </w:rPr>
        <w:t xml:space="preserve"> производился при наличии кассового плана </w:t>
      </w:r>
      <w:r>
        <w:rPr>
          <w:b/>
          <w:sz w:val="28"/>
        </w:rPr>
        <w:t xml:space="preserve">на</w:t>
      </w:r>
      <w:r>
        <w:rPr>
          <w:b/>
          <w:sz w:val="28"/>
          <w:szCs w:val="28"/>
        </w:rPr>
        <w:t xml:space="preserve"> январь-август </w:t>
      </w:r>
      <w:r>
        <w:rPr>
          <w:b/>
          <w:sz w:val="28"/>
        </w:rPr>
        <w:t xml:space="preserve">2024 года </w:t>
      </w:r>
      <w:r>
        <w:rPr>
          <w:sz w:val="28"/>
          <w:szCs w:val="28"/>
        </w:rPr>
        <w:t xml:space="preserve">департаментом жилищно-коммунального хозяйства.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spacing w:line="240" w:lineRule="auto"/>
        <w:tabs>
          <w:tab w:val="num" w:pos="720" w:leader="none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pStyle w:val="1032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rPr>
        <w:rStyle w:val="1040"/>
        <w:sz w:val="23"/>
        <w:szCs w:val="23"/>
      </w:rPr>
      <w:framePr w:wrap="around" w:vAnchor="text" w:hAnchor="margin" w:xAlign="right" w:y="1"/>
    </w:pPr>
    <w:r>
      <w:rPr>
        <w:rStyle w:val="1040"/>
        <w:sz w:val="23"/>
        <w:szCs w:val="23"/>
      </w:rPr>
      <w:fldChar w:fldCharType="begin"/>
    </w:r>
    <w:r>
      <w:rPr>
        <w:rStyle w:val="1040"/>
        <w:sz w:val="23"/>
        <w:szCs w:val="23"/>
      </w:rPr>
      <w:instrText xml:space="preserve">PAGE  </w:instrText>
    </w:r>
    <w:r>
      <w:rPr>
        <w:rStyle w:val="1040"/>
        <w:sz w:val="23"/>
        <w:szCs w:val="23"/>
      </w:rPr>
      <w:fldChar w:fldCharType="end"/>
    </w:r>
    <w:r>
      <w:rPr>
        <w:rStyle w:val="1040"/>
        <w:sz w:val="23"/>
        <w:szCs w:val="23"/>
      </w:rPr>
    </w:r>
    <w:r>
      <w:rPr>
        <w:rStyle w:val="1040"/>
        <w:sz w:val="23"/>
        <w:szCs w:val="23"/>
      </w:rPr>
    </w:r>
  </w:p>
  <w:p>
    <w:pPr>
      <w:pStyle w:val="1038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1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7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firstLine="0"/>
        <w:tabs>
          <w:tab w:val="num" w:pos="1724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5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055" w:hanging="1335"/>
      </w:pPr>
      <w:rPr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15" w:hanging="1335"/>
      </w:pPr>
      <w:rPr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75" w:hanging="1335"/>
      </w:pPr>
      <w:rPr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35" w:hanging="1335"/>
      </w:pPr>
      <w:rPr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95" w:hanging="1335"/>
      </w:pPr>
      <w:rPr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5" w:hanging="1335"/>
      </w:pPr>
      <w:rPr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335"/>
      </w:pPr>
      <w:rPr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75" w:hanging="1335"/>
      </w:pPr>
      <w:rPr>
        <w:b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4" w:hanging="284"/>
        <w:tabs>
          <w:tab w:val="num" w:pos="4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2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1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05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96" w:hanging="180"/>
      </w:pPr>
    </w:lvl>
  </w:abstractNum>
  <w:num w:numId="1">
    <w:abstractNumId w:val="16"/>
  </w:num>
  <w:num w:numId="2">
    <w:abstractNumId w:val="32"/>
  </w:num>
  <w:num w:numId="3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8"/>
  </w:num>
  <w:num w:numId="7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12"/>
  </w:num>
  <w:num w:numId="11">
    <w:abstractNumId w:val="2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8"/>
  </w:num>
  <w:num w:numId="15">
    <w:abstractNumId w:val="30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4"/>
  </w:num>
  <w:num w:numId="21">
    <w:abstractNumId w:val="21"/>
  </w:num>
  <w:num w:numId="22">
    <w:abstractNumId w:val="15"/>
  </w:num>
  <w:num w:numId="23">
    <w:abstractNumId w:val="1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31"/>
  </w:num>
  <w:num w:numId="28">
    <w:abstractNumId w:val="5"/>
  </w:num>
  <w:num w:numId="29">
    <w:abstractNumId w:val="20"/>
  </w:num>
  <w:num w:numId="30">
    <w:abstractNumId w:val="10"/>
  </w:num>
  <w:num w:numId="31">
    <w:abstractNumId w:val="8"/>
  </w:num>
  <w:num w:numId="32">
    <w:abstractNumId w:val="19"/>
  </w:num>
  <w:num w:numId="33">
    <w:abstractNumId w:val="2"/>
  </w:num>
  <w:num w:numId="34">
    <w:abstractNumId w:val="7"/>
  </w:num>
  <w:num w:numId="35">
    <w:abstractNumId w:val="23"/>
  </w:num>
  <w:num w:numId="36">
    <w:abstractNumId w:val="16"/>
  </w:num>
  <w:num w:numId="37">
    <w:abstractNumId w:val="29"/>
  </w:num>
  <w:num w:numId="38">
    <w:abstractNumId w:val="3"/>
  </w:num>
  <w:num w:numId="39">
    <w:abstractNumId w:val="18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7"/>
  </w:num>
  <w:num w:numId="55">
    <w:abstractNumId w:val="48"/>
  </w:num>
  <w:num w:numId="56">
    <w:abstractNumId w:val="49"/>
  </w:num>
  <w:num w:numId="57">
    <w:abstractNumId w:val="50"/>
  </w:num>
  <w:num w:numId="58">
    <w:abstractNumId w:val="51"/>
  </w:num>
  <w:num w:numId="59">
    <w:abstractNumId w:val="52"/>
  </w:num>
  <w:num w:numId="60">
    <w:abstractNumId w:val="53"/>
  </w:num>
  <w:num w:numId="61">
    <w:abstractNumId w:val="54"/>
  </w:num>
  <w:num w:numId="62">
    <w:abstractNumId w:val="55"/>
  </w:num>
  <w:num w:numId="63">
    <w:abstractNumId w:val="56"/>
  </w:num>
  <w:num w:numId="64">
    <w:abstractNumId w:val="57"/>
  </w:num>
  <w:num w:numId="65">
    <w:abstractNumId w:val="58"/>
  </w:num>
  <w:num w:numId="66">
    <w:abstractNumId w:val="59"/>
  </w:num>
  <w:num w:numId="67">
    <w:abstractNumId w:val="60"/>
  </w:num>
  <w:num w:numId="68">
    <w:abstractNumId w:val="61"/>
  </w:num>
  <w:num w:numId="69">
    <w:abstractNumId w:val="62"/>
  </w:num>
  <w:num w:numId="70">
    <w:abstractNumId w:val="63"/>
  </w:num>
  <w:num w:numId="71">
    <w:abstractNumId w:val="64"/>
  </w:num>
  <w:num w:numId="72">
    <w:abstractNumId w:val="65"/>
  </w:num>
  <w:num w:numId="73">
    <w:abstractNumId w:val="66"/>
  </w:num>
  <w:num w:numId="74">
    <w:abstractNumId w:val="67"/>
  </w:num>
  <w:num w:numId="75">
    <w:abstractNumId w:val="68"/>
  </w:num>
  <w:num w:numId="76">
    <w:abstractNumId w:val="69"/>
  </w:num>
  <w:num w:numId="77">
    <w:abstractNumId w:val="70"/>
  </w:num>
  <w:num w:numId="78">
    <w:abstractNumId w:val="71"/>
  </w:num>
  <w:num w:numId="79">
    <w:abstractNumId w:val="72"/>
  </w:num>
  <w:num w:numId="80">
    <w:abstractNumId w:val="73"/>
  </w:num>
  <w:num w:numId="81">
    <w:abstractNumId w:val="74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4">
    <w:name w:val="Heading 1"/>
    <w:basedOn w:val="1032"/>
    <w:next w:val="1032"/>
    <w:link w:val="8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5">
    <w:name w:val="Heading 1 Char"/>
    <w:link w:val="854"/>
    <w:uiPriority w:val="9"/>
    <w:rPr>
      <w:rFonts w:ascii="Arial" w:hAnsi="Arial" w:eastAsia="Arial" w:cs="Arial"/>
      <w:sz w:val="40"/>
      <w:szCs w:val="40"/>
    </w:rPr>
  </w:style>
  <w:style w:type="paragraph" w:styleId="856">
    <w:name w:val="Heading 2"/>
    <w:basedOn w:val="1032"/>
    <w:next w:val="1032"/>
    <w:link w:val="8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7">
    <w:name w:val="Heading 2 Char"/>
    <w:link w:val="856"/>
    <w:uiPriority w:val="9"/>
    <w:rPr>
      <w:rFonts w:ascii="Arial" w:hAnsi="Arial" w:eastAsia="Arial" w:cs="Arial"/>
      <w:sz w:val="34"/>
    </w:rPr>
  </w:style>
  <w:style w:type="paragraph" w:styleId="858">
    <w:name w:val="Heading 3"/>
    <w:basedOn w:val="1032"/>
    <w:next w:val="1032"/>
    <w:link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9">
    <w:name w:val="Heading 3 Char"/>
    <w:link w:val="858"/>
    <w:uiPriority w:val="9"/>
    <w:rPr>
      <w:rFonts w:ascii="Arial" w:hAnsi="Arial" w:eastAsia="Arial" w:cs="Arial"/>
      <w:sz w:val="30"/>
      <w:szCs w:val="30"/>
    </w:rPr>
  </w:style>
  <w:style w:type="paragraph" w:styleId="860">
    <w:name w:val="Heading 4"/>
    <w:basedOn w:val="1032"/>
    <w:next w:val="1032"/>
    <w:link w:val="8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1">
    <w:name w:val="Heading 4 Char"/>
    <w:link w:val="860"/>
    <w:uiPriority w:val="9"/>
    <w:rPr>
      <w:rFonts w:ascii="Arial" w:hAnsi="Arial" w:eastAsia="Arial" w:cs="Arial"/>
      <w:b/>
      <w:bCs/>
      <w:sz w:val="26"/>
      <w:szCs w:val="26"/>
    </w:rPr>
  </w:style>
  <w:style w:type="paragraph" w:styleId="862">
    <w:name w:val="Heading 5"/>
    <w:basedOn w:val="1032"/>
    <w:next w:val="1032"/>
    <w:link w:val="8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3">
    <w:name w:val="Heading 5 Char"/>
    <w:link w:val="862"/>
    <w:uiPriority w:val="9"/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1032"/>
    <w:next w:val="1032"/>
    <w:link w:val="8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5">
    <w:name w:val="Heading 6 Char"/>
    <w:link w:val="864"/>
    <w:uiPriority w:val="9"/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1032"/>
    <w:next w:val="1032"/>
    <w:link w:val="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7 Char"/>
    <w:link w:val="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8">
    <w:name w:val="Heading 8"/>
    <w:basedOn w:val="1032"/>
    <w:next w:val="1032"/>
    <w:link w:val="8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9">
    <w:name w:val="Heading 8 Char"/>
    <w:link w:val="868"/>
    <w:uiPriority w:val="9"/>
    <w:rPr>
      <w:rFonts w:ascii="Arial" w:hAnsi="Arial" w:eastAsia="Arial" w:cs="Arial"/>
      <w:i/>
      <w:iCs/>
      <w:sz w:val="22"/>
      <w:szCs w:val="22"/>
    </w:rPr>
  </w:style>
  <w:style w:type="paragraph" w:styleId="870">
    <w:name w:val="Heading 9"/>
    <w:basedOn w:val="1032"/>
    <w:next w:val="1032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1">
    <w:name w:val="Heading 9 Char"/>
    <w:link w:val="870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List Paragraph"/>
    <w:basedOn w:val="1032"/>
    <w:uiPriority w:val="34"/>
    <w:qFormat/>
    <w:pPr>
      <w:contextualSpacing/>
      <w:ind w:left="720"/>
    </w:pPr>
  </w:style>
  <w:style w:type="paragraph" w:styleId="873">
    <w:name w:val="No Spacing"/>
    <w:uiPriority w:val="1"/>
    <w:qFormat/>
    <w:pPr>
      <w:spacing w:before="0" w:after="0" w:line="240" w:lineRule="auto"/>
    </w:pPr>
  </w:style>
  <w:style w:type="paragraph" w:styleId="874">
    <w:name w:val="Title"/>
    <w:basedOn w:val="1032"/>
    <w:next w:val="1032"/>
    <w:link w:val="8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5">
    <w:name w:val="Title Char"/>
    <w:link w:val="874"/>
    <w:uiPriority w:val="10"/>
    <w:rPr>
      <w:sz w:val="48"/>
      <w:szCs w:val="48"/>
    </w:rPr>
  </w:style>
  <w:style w:type="paragraph" w:styleId="876">
    <w:name w:val="Subtitle"/>
    <w:basedOn w:val="1032"/>
    <w:next w:val="1032"/>
    <w:link w:val="877"/>
    <w:uiPriority w:val="11"/>
    <w:qFormat/>
    <w:pPr>
      <w:spacing w:before="200" w:after="200"/>
    </w:pPr>
    <w:rPr>
      <w:sz w:val="24"/>
      <w:szCs w:val="24"/>
    </w:rPr>
  </w:style>
  <w:style w:type="character" w:styleId="877">
    <w:name w:val="Subtitle Char"/>
    <w:link w:val="876"/>
    <w:uiPriority w:val="11"/>
    <w:rPr>
      <w:sz w:val="24"/>
      <w:szCs w:val="24"/>
    </w:rPr>
  </w:style>
  <w:style w:type="paragraph" w:styleId="878">
    <w:name w:val="Quote"/>
    <w:basedOn w:val="1032"/>
    <w:next w:val="1032"/>
    <w:link w:val="879"/>
    <w:uiPriority w:val="29"/>
    <w:qFormat/>
    <w:pPr>
      <w:ind w:left="720" w:right="720"/>
    </w:pPr>
    <w:rPr>
      <w:i/>
    </w:rPr>
  </w:style>
  <w:style w:type="character" w:styleId="879">
    <w:name w:val="Quote Char"/>
    <w:link w:val="878"/>
    <w:uiPriority w:val="29"/>
    <w:rPr>
      <w:i/>
    </w:rPr>
  </w:style>
  <w:style w:type="paragraph" w:styleId="880">
    <w:name w:val="Intense Quote"/>
    <w:basedOn w:val="1032"/>
    <w:next w:val="1032"/>
    <w:link w:val="8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>
    <w:name w:val="Intense Quote Char"/>
    <w:link w:val="880"/>
    <w:uiPriority w:val="30"/>
    <w:rPr>
      <w:i/>
    </w:rPr>
  </w:style>
  <w:style w:type="paragraph" w:styleId="882">
    <w:name w:val="Header"/>
    <w:basedOn w:val="1032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3">
    <w:name w:val="Header Char"/>
    <w:link w:val="882"/>
    <w:uiPriority w:val="99"/>
  </w:style>
  <w:style w:type="paragraph" w:styleId="884">
    <w:name w:val="Footer"/>
    <w:basedOn w:val="1032"/>
    <w:link w:val="8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5">
    <w:name w:val="Footer Char"/>
    <w:link w:val="884"/>
    <w:uiPriority w:val="99"/>
  </w:style>
  <w:style w:type="paragraph" w:styleId="886">
    <w:name w:val="Caption"/>
    <w:basedOn w:val="1032"/>
    <w:next w:val="10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7">
    <w:name w:val="Caption Char"/>
    <w:basedOn w:val="886"/>
    <w:link w:val="884"/>
    <w:uiPriority w:val="99"/>
  </w:style>
  <w:style w:type="table" w:styleId="8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4">
    <w:name w:val="Hyperlink"/>
    <w:uiPriority w:val="99"/>
    <w:unhideWhenUsed/>
    <w:rPr>
      <w:color w:val="0000ff" w:themeColor="hyperlink"/>
      <w:u w:val="single"/>
    </w:rPr>
  </w:style>
  <w:style w:type="paragraph" w:styleId="1015">
    <w:name w:val="footnote text"/>
    <w:basedOn w:val="1032"/>
    <w:link w:val="1016"/>
    <w:uiPriority w:val="99"/>
    <w:semiHidden/>
    <w:unhideWhenUsed/>
    <w:pPr>
      <w:spacing w:after="40" w:line="240" w:lineRule="auto"/>
    </w:pPr>
    <w:rPr>
      <w:sz w:val="18"/>
    </w:rPr>
  </w:style>
  <w:style w:type="character" w:styleId="1016">
    <w:name w:val="Footnote Text Char"/>
    <w:link w:val="1015"/>
    <w:uiPriority w:val="99"/>
    <w:rPr>
      <w:sz w:val="18"/>
    </w:rPr>
  </w:style>
  <w:style w:type="character" w:styleId="1017">
    <w:name w:val="footnote reference"/>
    <w:uiPriority w:val="99"/>
    <w:unhideWhenUsed/>
    <w:rPr>
      <w:vertAlign w:val="superscript"/>
    </w:rPr>
  </w:style>
  <w:style w:type="paragraph" w:styleId="1018">
    <w:name w:val="endnote text"/>
    <w:basedOn w:val="1032"/>
    <w:link w:val="1019"/>
    <w:uiPriority w:val="99"/>
    <w:semiHidden/>
    <w:unhideWhenUsed/>
    <w:pPr>
      <w:spacing w:after="0" w:line="240" w:lineRule="auto"/>
    </w:pPr>
    <w:rPr>
      <w:sz w:val="20"/>
    </w:rPr>
  </w:style>
  <w:style w:type="character" w:styleId="1019">
    <w:name w:val="Endnote Text Char"/>
    <w:link w:val="1018"/>
    <w:uiPriority w:val="99"/>
    <w:rPr>
      <w:sz w:val="20"/>
    </w:rPr>
  </w:style>
  <w:style w:type="character" w:styleId="1020">
    <w:name w:val="endnote reference"/>
    <w:uiPriority w:val="99"/>
    <w:semiHidden/>
    <w:unhideWhenUsed/>
    <w:rPr>
      <w:vertAlign w:val="superscript"/>
    </w:rPr>
  </w:style>
  <w:style w:type="paragraph" w:styleId="1021">
    <w:name w:val="toc 1"/>
    <w:basedOn w:val="1032"/>
    <w:next w:val="1032"/>
    <w:uiPriority w:val="39"/>
    <w:unhideWhenUsed/>
    <w:pPr>
      <w:ind w:left="0" w:right="0" w:firstLine="0"/>
      <w:spacing w:after="57"/>
    </w:pPr>
  </w:style>
  <w:style w:type="paragraph" w:styleId="1022">
    <w:name w:val="toc 2"/>
    <w:basedOn w:val="1032"/>
    <w:next w:val="1032"/>
    <w:uiPriority w:val="39"/>
    <w:unhideWhenUsed/>
    <w:pPr>
      <w:ind w:left="283" w:right="0" w:firstLine="0"/>
      <w:spacing w:after="57"/>
    </w:pPr>
  </w:style>
  <w:style w:type="paragraph" w:styleId="1023">
    <w:name w:val="toc 3"/>
    <w:basedOn w:val="1032"/>
    <w:next w:val="1032"/>
    <w:uiPriority w:val="39"/>
    <w:unhideWhenUsed/>
    <w:pPr>
      <w:ind w:left="567" w:right="0" w:firstLine="0"/>
      <w:spacing w:after="57"/>
    </w:pPr>
  </w:style>
  <w:style w:type="paragraph" w:styleId="1024">
    <w:name w:val="toc 4"/>
    <w:basedOn w:val="1032"/>
    <w:next w:val="1032"/>
    <w:uiPriority w:val="39"/>
    <w:unhideWhenUsed/>
    <w:pPr>
      <w:ind w:left="850" w:right="0" w:firstLine="0"/>
      <w:spacing w:after="57"/>
    </w:pPr>
  </w:style>
  <w:style w:type="paragraph" w:styleId="1025">
    <w:name w:val="toc 5"/>
    <w:basedOn w:val="1032"/>
    <w:next w:val="1032"/>
    <w:uiPriority w:val="39"/>
    <w:unhideWhenUsed/>
    <w:pPr>
      <w:ind w:left="1134" w:right="0" w:firstLine="0"/>
      <w:spacing w:after="57"/>
    </w:pPr>
  </w:style>
  <w:style w:type="paragraph" w:styleId="1026">
    <w:name w:val="toc 6"/>
    <w:basedOn w:val="1032"/>
    <w:next w:val="1032"/>
    <w:uiPriority w:val="39"/>
    <w:unhideWhenUsed/>
    <w:pPr>
      <w:ind w:left="1417" w:right="0" w:firstLine="0"/>
      <w:spacing w:after="57"/>
    </w:pPr>
  </w:style>
  <w:style w:type="paragraph" w:styleId="1027">
    <w:name w:val="toc 7"/>
    <w:basedOn w:val="1032"/>
    <w:next w:val="1032"/>
    <w:uiPriority w:val="39"/>
    <w:unhideWhenUsed/>
    <w:pPr>
      <w:ind w:left="1701" w:right="0" w:firstLine="0"/>
      <w:spacing w:after="57"/>
    </w:pPr>
  </w:style>
  <w:style w:type="paragraph" w:styleId="1028">
    <w:name w:val="toc 8"/>
    <w:basedOn w:val="1032"/>
    <w:next w:val="1032"/>
    <w:uiPriority w:val="39"/>
    <w:unhideWhenUsed/>
    <w:pPr>
      <w:ind w:left="1984" w:right="0" w:firstLine="0"/>
      <w:spacing w:after="57"/>
    </w:pPr>
  </w:style>
  <w:style w:type="paragraph" w:styleId="1029">
    <w:name w:val="toc 9"/>
    <w:basedOn w:val="1032"/>
    <w:next w:val="1032"/>
    <w:uiPriority w:val="39"/>
    <w:unhideWhenUsed/>
    <w:pPr>
      <w:ind w:left="2268" w:right="0" w:firstLine="0"/>
      <w:spacing w:after="57"/>
    </w:pPr>
  </w:style>
  <w:style w:type="paragraph" w:styleId="1030">
    <w:name w:val="TOC Heading"/>
    <w:uiPriority w:val="39"/>
    <w:unhideWhenUsed/>
  </w:style>
  <w:style w:type="paragraph" w:styleId="1031">
    <w:name w:val="table of figures"/>
    <w:basedOn w:val="1032"/>
    <w:next w:val="1032"/>
    <w:uiPriority w:val="99"/>
    <w:unhideWhenUsed/>
    <w:pPr>
      <w:spacing w:after="0" w:afterAutospacing="0"/>
    </w:pPr>
  </w:style>
  <w:style w:type="paragraph" w:styleId="1032" w:default="1">
    <w:name w:val="Normal"/>
    <w:next w:val="1032"/>
    <w:link w:val="1032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1033">
    <w:name w:val="Основной шрифт абзаца"/>
    <w:next w:val="1033"/>
    <w:link w:val="1032"/>
    <w:uiPriority w:val="1"/>
    <w:unhideWhenUsed/>
  </w:style>
  <w:style w:type="table" w:styleId="1034">
    <w:name w:val="Обычная таблица"/>
    <w:next w:val="1034"/>
    <w:link w:val="1032"/>
    <w:uiPriority w:val="99"/>
    <w:semiHidden/>
    <w:unhideWhenUsed/>
    <w:qFormat/>
    <w:tblPr/>
  </w:style>
  <w:style w:type="numbering" w:styleId="1035">
    <w:name w:val="Нет списка"/>
    <w:next w:val="1035"/>
    <w:link w:val="1032"/>
    <w:uiPriority w:val="99"/>
    <w:semiHidden/>
    <w:unhideWhenUsed/>
  </w:style>
  <w:style w:type="paragraph" w:styleId="1036">
    <w:name w:val="Основной текст с отступом"/>
    <w:basedOn w:val="1032"/>
    <w:next w:val="1036"/>
    <w:link w:val="1037"/>
    <w:pPr>
      <w:ind w:firstLine="720"/>
      <w:spacing w:line="360" w:lineRule="auto"/>
    </w:pPr>
    <w:rPr>
      <w:sz w:val="28"/>
      <w:szCs w:val="20"/>
      <w:lang w:val="en-US"/>
    </w:rPr>
  </w:style>
  <w:style w:type="character" w:styleId="1037">
    <w:name w:val="Основной текст с отступом Знак"/>
    <w:next w:val="1037"/>
    <w:link w:val="10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38">
    <w:name w:val="Нижний колонтитул"/>
    <w:basedOn w:val="1032"/>
    <w:next w:val="1038"/>
    <w:link w:val="103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39">
    <w:name w:val="Нижний колонтитул Знак"/>
    <w:next w:val="1039"/>
    <w:link w:val="10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0">
    <w:name w:val="Номер страницы"/>
    <w:basedOn w:val="1033"/>
    <w:next w:val="1040"/>
    <w:link w:val="1032"/>
  </w:style>
  <w:style w:type="paragraph" w:styleId="1041">
    <w:name w:val="Основной текст с отступом 2"/>
    <w:basedOn w:val="1032"/>
    <w:next w:val="1041"/>
    <w:link w:val="1042"/>
    <w:pPr>
      <w:ind w:firstLine="720"/>
    </w:pPr>
    <w:rPr>
      <w:b/>
      <w:sz w:val="32"/>
      <w:szCs w:val="32"/>
      <w:lang w:val="en-US"/>
    </w:rPr>
  </w:style>
  <w:style w:type="character" w:styleId="1042">
    <w:name w:val="Основной текст с отступом 2 Знак"/>
    <w:next w:val="1042"/>
    <w:link w:val="1041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1043">
    <w:name w:val="Абзац списка"/>
    <w:basedOn w:val="1032"/>
    <w:next w:val="1043"/>
    <w:link w:val="1032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1044">
    <w:name w:val="Текст выноски"/>
    <w:basedOn w:val="1032"/>
    <w:next w:val="1044"/>
    <w:link w:val="1045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1045">
    <w:name w:val="Текст выноски Знак"/>
    <w:next w:val="1045"/>
    <w:link w:val="10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46">
    <w:name w:val="Верхний колонтитул, Знак"/>
    <w:basedOn w:val="1032"/>
    <w:next w:val="1046"/>
    <w:link w:val="104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1047">
    <w:name w:val="Верхний колонтитул Знак, Знак Знак1"/>
    <w:next w:val="1047"/>
    <w:link w:val="10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>
    <w:name w:val="Основной текст"/>
    <w:basedOn w:val="1032"/>
    <w:next w:val="1048"/>
    <w:link w:val="1049"/>
    <w:uiPriority w:val="99"/>
    <w:unhideWhenUsed/>
    <w:pPr>
      <w:spacing w:after="120"/>
    </w:pPr>
  </w:style>
  <w:style w:type="character" w:styleId="1049">
    <w:name w:val="Основной текст Знак"/>
    <w:next w:val="1049"/>
    <w:link w:val="1048"/>
    <w:uiPriority w:val="99"/>
    <w:rPr>
      <w:rFonts w:ascii="Times New Roman" w:hAnsi="Times New Roman" w:eastAsia="Times New Roman"/>
      <w:sz w:val="24"/>
      <w:szCs w:val="24"/>
    </w:rPr>
  </w:style>
  <w:style w:type="paragraph" w:styleId="1050">
    <w:name w:val="Исполнитель"/>
    <w:basedOn w:val="1048"/>
    <w:next w:val="1050"/>
    <w:link w:val="1032"/>
    <w:pPr>
      <w:jc w:val="left"/>
      <w:spacing w:line="240" w:lineRule="exact"/>
      <w:widowControl/>
    </w:pPr>
    <w:rPr>
      <w:szCs w:val="20"/>
    </w:rPr>
  </w:style>
  <w:style w:type="paragraph" w:styleId="1051">
    <w:name w:val="Текст концевой сноски"/>
    <w:basedOn w:val="1032"/>
    <w:next w:val="1051"/>
    <w:link w:val="1052"/>
    <w:uiPriority w:val="99"/>
    <w:semiHidden/>
    <w:unhideWhenUsed/>
    <w:rPr>
      <w:sz w:val="20"/>
      <w:szCs w:val="20"/>
    </w:rPr>
  </w:style>
  <w:style w:type="character" w:styleId="1052">
    <w:name w:val="Текст концевой сноски Знак"/>
    <w:next w:val="1052"/>
    <w:link w:val="1051"/>
    <w:uiPriority w:val="99"/>
    <w:semiHidden/>
    <w:rPr>
      <w:rFonts w:ascii="Times New Roman" w:hAnsi="Times New Roman" w:eastAsia="Times New Roman"/>
    </w:rPr>
  </w:style>
  <w:style w:type="character" w:styleId="1053">
    <w:name w:val="Знак концевой сноски"/>
    <w:next w:val="1053"/>
    <w:link w:val="1032"/>
    <w:uiPriority w:val="99"/>
    <w:semiHidden/>
    <w:unhideWhenUsed/>
    <w:rPr>
      <w:vertAlign w:val="superscript"/>
    </w:rPr>
  </w:style>
  <w:style w:type="paragraph" w:styleId="1054">
    <w:name w:val="Текст сноски"/>
    <w:basedOn w:val="1032"/>
    <w:next w:val="1054"/>
    <w:link w:val="1055"/>
    <w:uiPriority w:val="99"/>
    <w:semiHidden/>
    <w:unhideWhenUsed/>
    <w:rPr>
      <w:sz w:val="20"/>
      <w:szCs w:val="20"/>
    </w:rPr>
  </w:style>
  <w:style w:type="character" w:styleId="1055">
    <w:name w:val="Текст сноски Знак"/>
    <w:next w:val="1055"/>
    <w:link w:val="1054"/>
    <w:uiPriority w:val="99"/>
    <w:semiHidden/>
    <w:rPr>
      <w:rFonts w:ascii="Times New Roman" w:hAnsi="Times New Roman" w:eastAsia="Times New Roman"/>
    </w:rPr>
  </w:style>
  <w:style w:type="character" w:styleId="1056">
    <w:name w:val="Знак сноски"/>
    <w:next w:val="1056"/>
    <w:link w:val="1032"/>
    <w:uiPriority w:val="99"/>
    <w:semiHidden/>
    <w:unhideWhenUsed/>
    <w:rPr>
      <w:vertAlign w:val="superscript"/>
    </w:rPr>
  </w:style>
  <w:style w:type="character" w:styleId="1057" w:default="1">
    <w:name w:val="Default Paragraph Font"/>
    <w:uiPriority w:val="1"/>
    <w:semiHidden/>
    <w:unhideWhenUsed/>
  </w:style>
  <w:style w:type="numbering" w:styleId="1058" w:default="1">
    <w:name w:val="No List"/>
    <w:uiPriority w:val="99"/>
    <w:semiHidden/>
    <w:unhideWhenUsed/>
  </w:style>
  <w:style w:type="table" w:styleId="10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админситрации г.Перми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250</cp:revision>
  <dcterms:created xsi:type="dcterms:W3CDTF">2024-07-10T10:00:00Z</dcterms:created>
  <dcterms:modified xsi:type="dcterms:W3CDTF">2024-09-11T11:04:59Z</dcterms:modified>
  <cp:version>983040</cp:version>
</cp:coreProperties>
</file>