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ED" w:rsidRDefault="00A117B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4EED" w:rsidRDefault="00A117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64EED" w:rsidRDefault="00A64EE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A64EED" w:rsidRDefault="00A117B6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64EED" w:rsidRDefault="00A64EED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A64EED" w:rsidRDefault="00A117B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64EED" w:rsidRDefault="00A64EED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A64EED" w:rsidRDefault="00A117B6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A64EED" w:rsidRDefault="00A64E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64EED" w:rsidRDefault="00A64EED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4EED" w:rsidRDefault="00A64E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64EED" w:rsidRDefault="00A64EED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4EED" w:rsidRDefault="00A64E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64EED" w:rsidRDefault="00A64EE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64EED" w:rsidRDefault="00A117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64EED" w:rsidRDefault="00A64EE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A64EED" w:rsidRDefault="00A117B6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64EED" w:rsidRDefault="00A64EED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A64EED" w:rsidRDefault="00A117B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64EED" w:rsidRDefault="00A64EED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A64EED" w:rsidRDefault="00A117B6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A64EED" w:rsidRDefault="00A64E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64EED" w:rsidRDefault="00A64EED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64EED" w:rsidRDefault="00A64E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64EED" w:rsidRDefault="00A64EED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64EED" w:rsidRDefault="00A64E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64EED" w:rsidRDefault="00A64EED"/>
                    </w:txbxContent>
                  </v:textbox>
                </v:shape>
              </v:group>
            </w:pict>
          </mc:Fallback>
        </mc:AlternateContent>
      </w:r>
    </w:p>
    <w:p w:rsidR="00A64EED" w:rsidRDefault="00A64EE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64EED" w:rsidRDefault="00A64EE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64EED" w:rsidRDefault="00A64EED">
      <w:pPr>
        <w:jc w:val="both"/>
        <w:rPr>
          <w:sz w:val="24"/>
          <w:lang w:val="en-US"/>
        </w:rPr>
      </w:pPr>
    </w:p>
    <w:p w:rsidR="00A64EED" w:rsidRDefault="00A64EED">
      <w:pPr>
        <w:jc w:val="both"/>
        <w:rPr>
          <w:sz w:val="24"/>
        </w:rPr>
      </w:pPr>
    </w:p>
    <w:p w:rsidR="00A64EED" w:rsidRDefault="00A64EED">
      <w:pPr>
        <w:jc w:val="both"/>
        <w:rPr>
          <w:sz w:val="24"/>
        </w:rPr>
      </w:pPr>
    </w:p>
    <w:p w:rsidR="00A64EED" w:rsidRDefault="00A64EED">
      <w:pPr>
        <w:jc w:val="both"/>
        <w:rPr>
          <w:sz w:val="24"/>
        </w:rPr>
      </w:pPr>
    </w:p>
    <w:p w:rsidR="00A64EED" w:rsidRDefault="00A64EED">
      <w:pPr>
        <w:jc w:val="both"/>
        <w:rPr>
          <w:sz w:val="24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117B6" w:rsidRPr="00A117B6" w:rsidRDefault="00A117B6">
      <w:pPr>
        <w:ind w:right="5238"/>
        <w:rPr>
          <w:bCs/>
          <w:sz w:val="28"/>
          <w:szCs w:val="28"/>
        </w:rPr>
      </w:pPr>
      <w:bookmarkStart w:id="0" w:name="_GoBack"/>
      <w:r w:rsidRPr="00A117B6">
        <w:rPr>
          <w:bCs/>
          <w:sz w:val="28"/>
          <w:szCs w:val="28"/>
        </w:rPr>
        <w:t>10.10.2024    059-06-01/01-03-р-240</w:t>
      </w:r>
    </w:p>
    <w:bookmarkEnd w:id="0"/>
    <w:p w:rsidR="00A117B6" w:rsidRDefault="00A117B6">
      <w:pPr>
        <w:ind w:right="5238"/>
        <w:rPr>
          <w:b/>
          <w:bCs/>
          <w:sz w:val="28"/>
          <w:szCs w:val="28"/>
        </w:rPr>
      </w:pPr>
    </w:p>
    <w:p w:rsidR="00A64EED" w:rsidRDefault="00A117B6">
      <w:pPr>
        <w:ind w:right="52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Методических рекомендаций к составу финансово-экономического обоснования планируемых объемов бюджетных ассигнований</w:t>
      </w:r>
    </w:p>
    <w:p w:rsidR="00A64EED" w:rsidRDefault="00A64EED">
      <w:pPr>
        <w:jc w:val="both"/>
        <w:rPr>
          <w:sz w:val="28"/>
          <w:szCs w:val="28"/>
        </w:rPr>
      </w:pPr>
    </w:p>
    <w:p w:rsidR="00A64EED" w:rsidRPr="00A117B6" w:rsidRDefault="00A117B6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пунктом 7 статьи 26 Положения о бюджете и бюджетном процессе в городе Перми, утвержденного решением Пермской городской Думы от 28.08.2007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185: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1. Утвердить Методические рекомендации к составу финансово-экономического обоснования планируе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мых объемов бюджетных ассигнований.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 Установить, что финансово-экономическое обоснование планируемых объемов бюджетных ассигнований за счет средств местного бюджета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представляется к проекту бюджета города на очередной финансовый год и плановый период, при внесении изменений в решение о бюджете в текущий финансовый год и плановый период и формируется с учетом положений бюджетного законодательства Российской Федерации.</w:t>
      </w:r>
    </w:p>
    <w:p w:rsidR="00A64EED" w:rsidRPr="00A117B6" w:rsidRDefault="00A64E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4EED" w:rsidRPr="00A117B6" w:rsidRDefault="00A117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3. По расходам бюджета, финансовое обеспечение которых осуществляется за счет межбюджетных трансфертов, финансово-экономическое обоснование к проекту бюджета города на очередной финансовый год и плановый период, при внесении изменений в решение о бюджете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текущий финансовый год и плановый период не формируется. Межбюджетные трансферты отражаются в решении о бюджете на основании законов, иных нормативных правовых актов Пермского края (проектов законов, иных нормативных правовых актов Пермского края), а та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кже других документов (договоров (соглашений), писем, уведомлений и т.п.), устанавливающих их объем.</w:t>
      </w:r>
    </w:p>
    <w:p w:rsidR="00A64EED" w:rsidRPr="00A117B6" w:rsidRDefault="00A64E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4EED" w:rsidRPr="00A117B6" w:rsidRDefault="00A117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>Признать утратившими силу:</w:t>
      </w:r>
    </w:p>
    <w:p w:rsidR="00A64EED" w:rsidRPr="00A117B6" w:rsidRDefault="00A117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 xml:space="preserve">4.1. распоряжения заместителя главы администрации города Перми – начальника </w:t>
      </w:r>
      <w:proofErr w:type="gramStart"/>
      <w:r w:rsidRPr="00A117B6">
        <w:rPr>
          <w:rFonts w:ascii="Times New Roman" w:hAnsi="Times New Roman" w:cs="Times New Roman"/>
          <w:sz w:val="28"/>
          <w:szCs w:val="28"/>
          <w:lang w:val="ru-RU"/>
        </w:rPr>
        <w:t>департамента финансов администрации города Перми</w:t>
      </w:r>
      <w:proofErr w:type="gramEnd"/>
      <w:r w:rsidRPr="00A117B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4EED" w:rsidRPr="00A117B6" w:rsidRDefault="00A117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>от 22 октября 2019 г. № 059-06-01.01-03-р-121 “Об утверждении Требований к составу финансово-экономического обоснования планируемых объемов бюджетных ассигнований”;</w:t>
      </w:r>
    </w:p>
    <w:p w:rsidR="00A64EED" w:rsidRPr="00A117B6" w:rsidRDefault="00A117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>от 30.06.2020 г. № 059-06-01.01-03-р-81 “О внесении изменений в Требования к составу фина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 xml:space="preserve">нсово-экономического обоснования планируемых 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объемов бюджетных ассигнований, утвержденные распоряжением заместителя главы администрации города Перми – начальника департамента финансов от 22 октября 2019 г. № 059-06-01.01-03-р-121”;</w:t>
      </w:r>
    </w:p>
    <w:p w:rsidR="00A64EED" w:rsidRPr="00A117B6" w:rsidRDefault="00A117B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>от 20.10.2020 г. № 059-0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 xml:space="preserve">6-01.01-03-р-133 “О внесении изменений в Требования к составу финансово-экономического обоснования планируемых объемов бюджетных ассигнований, утвержденные распоряжением заместителя главы администрации города Перми – начальника департамента финансов от 22 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>октября 2019 г. № 059-06-01.01-03-р-121”;</w:t>
      </w:r>
    </w:p>
    <w:p w:rsidR="00A64EED" w:rsidRPr="00A117B6" w:rsidRDefault="00A1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>от 06.11.2020 г. № 059-06-01.01-03-р-146 “О внесении изменений в Требования к составу финансово-экономического обоснования планируемых объемов бюджетных ассигнований, утвержденные распоряжением заместителя главы ад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>министрации города Перми – начальника департамента финансов от 22 октября 2019 г. № 059-06-01.01-03-р-121”.</w:t>
      </w:r>
    </w:p>
    <w:p w:rsidR="00A64EED" w:rsidRPr="00A117B6" w:rsidRDefault="00A117B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 xml:space="preserve">4.2. распоряжения </w:t>
      </w:r>
      <w:proofErr w:type="gramStart"/>
      <w:r w:rsidRPr="00A117B6">
        <w:rPr>
          <w:rFonts w:ascii="Times New Roman" w:hAnsi="Times New Roman" w:cs="Times New Roman"/>
          <w:sz w:val="28"/>
          <w:szCs w:val="28"/>
          <w:lang w:val="ru-RU"/>
        </w:rPr>
        <w:t>начальника департамента финансов администрации города Перми</w:t>
      </w:r>
      <w:proofErr w:type="gramEnd"/>
    </w:p>
    <w:p w:rsidR="00A64EED" w:rsidRPr="00A117B6" w:rsidRDefault="00A1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>от 25.06.2021 г. № 059-06-01.01-03-р-83 “О внесении изменений в распор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>яжение заместителя главы администрации города Перми – начальника департамента финансов от 22 октября 2019 г. № 059-06-01.01-03-р-121 “Об утверждении Требований к составу финансово-экономического обоснования планируемых объемов бюджетных ассигнований”;</w:t>
      </w:r>
    </w:p>
    <w:p w:rsidR="00A64EED" w:rsidRPr="00A117B6" w:rsidRDefault="00A1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>от 0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>4.03.2022 г. № 059-06-01.01-03-р-49 “О внесении изменений в Требования к составу финансово-экономического обоснования планируемых объемов бюджетных ассигнований, утвержденные распоряжением заместителя главы администрации города Перми – начальника департаме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>нта финансов от 22 октября 2019 г. № 059-06-01.01-03-р-121”;</w:t>
      </w:r>
    </w:p>
    <w:p w:rsidR="00A64EED" w:rsidRPr="00A117B6" w:rsidRDefault="00A1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hAnsi="Times New Roman" w:cs="Times New Roman"/>
          <w:sz w:val="28"/>
          <w:szCs w:val="28"/>
          <w:lang w:val="ru-RU"/>
        </w:rPr>
        <w:t>от 20.10.2023 г. № 059-06-01.01-03-р-240 “О внесении изменений в Требования к составу финансово-экономического обоснования планируемых объемов бюджетных ассигнований, утвержденные распоряжением з</w:t>
      </w:r>
      <w:r w:rsidRPr="00A117B6">
        <w:rPr>
          <w:rFonts w:ascii="Times New Roman" w:hAnsi="Times New Roman" w:cs="Times New Roman"/>
          <w:sz w:val="28"/>
          <w:szCs w:val="28"/>
          <w:lang w:val="ru-RU"/>
        </w:rPr>
        <w:t>аместителя главы администрации города Перми – начальника департамента финансов от 22 октября 2019 г. № 059-06-01.01-03-р-121”.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4EED" w:rsidRPr="00A117B6" w:rsidRDefault="00A117B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Настоящее распоряжение вступает в силу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 даты подписания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Начальнику управления по обеспечению деятельности департамента финансов администрации города Перми </w:t>
      </w:r>
      <w:proofErr w:type="spell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Канзепаровой</w:t>
      </w:r>
      <w:proofErr w:type="spell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И.В. разместить настоящее распоряжение на сайте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департамента финансов администрации города Перми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7. Контроль за исполнением настоящего распо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ряжения возложить на заместителя начальника департамента финансов - начальника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управления расходов бюджета департамента финансов администрации города Перми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Радостеву</w:t>
      </w:r>
      <w:proofErr w:type="spell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Т.С.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A64EED" w:rsidRPr="00A117B6" w:rsidRDefault="00A117B6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В.С.ТИТЯПКИНА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szCs w:val="24"/>
          <w:lang w:val="ru-RU"/>
        </w:rPr>
      </w:pP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szCs w:val="24"/>
          <w:lang w:val="ru-RU"/>
        </w:rPr>
      </w:pP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szCs w:val="24"/>
          <w:lang w:val="ru-RU"/>
        </w:rPr>
      </w:pPr>
    </w:p>
    <w:p w:rsidR="00A64EED" w:rsidRPr="00A117B6" w:rsidRDefault="00A117B6">
      <w:pPr>
        <w:pStyle w:val="ConsPlusNormal"/>
        <w:jc w:val="right"/>
        <w:outlineLvl w:val="0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Утверждены</w:t>
      </w:r>
    </w:p>
    <w:p w:rsidR="00A64EED" w:rsidRPr="00A117B6" w:rsidRDefault="00A117B6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распоряжением</w:t>
      </w:r>
    </w:p>
    <w:p w:rsidR="00A64EED" w:rsidRPr="00A117B6" w:rsidRDefault="00A117B6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ачальника департамента финансов</w:t>
      </w:r>
    </w:p>
    <w:p w:rsidR="00A64EED" w:rsidRPr="00A117B6" w:rsidRDefault="00A117B6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города Перми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A64EED" w:rsidRPr="00A117B6" w:rsidRDefault="00A117B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МЕТОДИЧЕСКИЕ РЕКОМЕНДАЦИИ</w:t>
      </w:r>
    </w:p>
    <w:p w:rsidR="00A64EED" w:rsidRPr="00A117B6" w:rsidRDefault="00A117B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К СОСТАВУ ФИНАНСОВО-ЭКОНОМИЧЕСКОГО ОБОСНОВАНИЯ ПЛАНИРУЕМЫХ ОБЪЕМОВ БЮДЖЕТНЫХ АССИГНОВАНИЙ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A64EED" w:rsidRPr="00A117B6" w:rsidRDefault="00A117B6">
      <w:pPr>
        <w:pStyle w:val="ConsPlusTitle"/>
        <w:jc w:val="center"/>
        <w:outlineLvl w:val="1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1. Общие положения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A64EED" w:rsidRPr="00A117B6" w:rsidRDefault="00A117B6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1.1. Настоящие Методические рекомендации определяют состав финансово-экономического обоснования планируемых объемов бюджетных ассигнований, представляемого к проекту бюджета города на очередной финансовый год и плановый период, а также при внесении изменен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ий в решение о бюджете в текущем году, с учетом положений бюджетного законодательства Российской Федерации.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1.2. Финансово-экономическое обоснование - расчеты и документы, подтверждающие обоснованность объемов бюджетных ассигнований, необходимых для решени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я вопросов местного значения, и бюджетных ассигнований на обеспечение дополнительно принятых расходных обязательств муниципального образования.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1.3. Планирование расходов бюджета, составление обоснования бюджетных ассигнований осуществляют главные распоряд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в с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оответствии с подпунктом 4 пункта 1 статьи 158 Бюджетного кодекса Российской Федерации.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A64EED" w:rsidRPr="00A117B6" w:rsidRDefault="00A117B6">
      <w:pPr>
        <w:pStyle w:val="ConsPlusTitle"/>
        <w:jc w:val="center"/>
        <w:outlineLvl w:val="1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 финансово-экономического обоснования</w:t>
      </w:r>
    </w:p>
    <w:p w:rsidR="00A64EED" w:rsidRPr="00A117B6" w:rsidRDefault="00A117B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при планировании бюджета города на очередной финансовый год</w:t>
      </w:r>
    </w:p>
    <w:p w:rsidR="00A64EED" w:rsidRPr="00A117B6" w:rsidRDefault="00A117B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 плановый период, при внесении изменений в решение</w:t>
      </w:r>
    </w:p>
    <w:p w:rsidR="00A64EED" w:rsidRPr="00A117B6" w:rsidRDefault="00A117B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 бюджете в текущем году</w:t>
      </w:r>
    </w:p>
    <w:p w:rsidR="00A64EED" w:rsidRPr="00A117B6" w:rsidRDefault="00A64EED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A64EED" w:rsidRPr="00A117B6" w:rsidRDefault="00A117B6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2.1. Расчеты бюджетных ассигнований к проекту бюджета города на очередной финансовый год и плановый период осуществляются по формам согласно приложениям к Методике планирования б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юджетных ассигнований на очередной финансовый год и плановый период, утверждаемой распоряжением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начальника департамента финансов администрации города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Перми, а также иных документов, отраженных в составе финансово-экономического обоснования.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2.2. При планир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овании бюджетных ассигнований на оказание муниципальных услуг (выполнение работ), включая закупку товаров, работ, услуг для обеспечения муниципальных нужд,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2.2.1.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планировании бюджетных ассигнований на выполнение функций казенных учреждений главные распорядители (распорядители) бюджетных средств представляют: на очередной финансовый год и плановый период - проект бюджетной сметы казенных учреждений с приложением об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оснований (расчетов) плановых сметных показателей, в текущем финансовом году и плановом периоде - проект внесения изменений в показатели бюджетной сметы с приложением обоснований (расчетов) плановых сметных показателей.</w:t>
      </w:r>
      <w:proofErr w:type="gramEnd"/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2.2.2. При планировании бюджетных ас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сигнований на финансовое обеспечение муниципальных заданий, на предоставление субсидий на иные цели бюджетных, автономных учреждений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 сводных показателей муниц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ипальных заданий, формируемых главными распорядителями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я подведомственных учреждений на очередной финансовый год и плановый период в случае оказания ими муниципальных услуг (выполнения работ),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подведомственных муниципальных учр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еждений (в разрезе типов учреждений) по состоянию на 1 июня текущего финансового года. В случае если на 1 июня текущего финансового года процесс реорганизации, изменения типа учреждений не завершен, главные распорядители (распорядители) бюджетных средств д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ополнительно представляют соответствующее постановление администрации города Перми. При создании нового учреждения после 1 июня текущего финансового года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проекты соответствующих постановл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ений администрации города Перми,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 нормативных затрат на содержание муниципального имущества в разрезе видов услуг (работ) и муниципальных учреждений, проекты договоров аренды недвижимого имущества,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в разрезе муниципальных учреждений об объ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еме финансового обеспечения содержания недвижимого имущества и особо ценного движимого имущества, сданного в аренду,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из регионального перечня (классификатора) муниципальных услуг и работ Пермского края в части муниципальных услуг (работ), оказыв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аемых муниципальными учреждениями города Перми,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 в разрезе муниципальных услуг (работ) коэффициента платной деятельности,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 расходов в разрезе льготных категорий платы за присмотр и уход за детьми, осваивающими образовательные программы дошкольн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ого образования,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 субсидий на иные цели муниципальных бюджетных и автономных учреждений, в том числе предварительные сметы расходов с приложением расчетов (обоснований) плановых сметных показателей с подтверждающими документами, или сметы за отчетный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период, или сметы на текущий финансовый год, или муниципальные контракты, договоры, счета на оплату,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исходные данные для формирования расчетных показателей дошкольных и общеобразовательных организаций по проекту бюджета Пермского края на очередной финансо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вый год и плановый период в части межбюджетных трансфертов городу Перми.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2.2.3.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При планировании расходов на предоставление субсидий некоммерческим организациям, не являющимся государственными (муниципальными) учреждениями, расходов на предоставление субси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дий юридическим лицам (за исключением субсидий государственным (муниципальным) учреждениям) главные распорядители (распорядители) бюджетных средств представляют следующие документы:</w:t>
      </w:r>
      <w:proofErr w:type="gramEnd"/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субсидий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разрезе получателей исходя из количества и размера норма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тива, утвержденного нормативными правовыми актами администрации г. Перми,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проекты планов мероприятий и смет расходов с приложением расчетов (обоснований) плановых сметных показателей с подтверждающими документами (при отсутствии утвержденного норматива),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.2.4. При планировании бюджетных инвестиций в объекты муниципальной собственности, направленных на приобретение, строительство и реконструкцию,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 либо предварит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ельные расчеты стоимости (сметы) на проектные работы и инженерные изыскания, расчет (предварительный) стоимости работ по проведению государственной экспертизы проектной документации и инженерных изысканий, расчеты (предварительные) стоимости работ по обсле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дованию объектов, сводная смета на проектные работы и инженерные изыскания,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 стоимости строительства объекта, произведенные на основании укрупненных нормативов цены строительства,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сводные, объектные и локальные сметные расчеты (сметы), разработанные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составе раздела "Смета на строительство, реконструкцию, капитальный ремонт, снос объекта капитального строительства" проектной документации,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 начальной (максимальной) цены контракта при осуществлени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 закупок на выполнение подрядных работ по строительству, реконструкции, капитальному ремонту, сносу объектов капитального строительства, работам по сохранению объектов культурного наследия (памятников истории и культуры) народов Российской Федерации и вып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олнению строительных работ в отношении объектов, не являющихся объектами капитального строительства, расчеты начальной (максимальной) цены контракта при осуществлении закупок подрядных работ по инженерным изысканиям и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или) по подготовке проектной документ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ации, расчет начальной (максимальной) цены контракта, цены контракта, заключаемого с единственным поставщиком (подрядчиком, исполнителем), предметом которого одновременно является подготовка проектной документации и (или) выполнение инженерных изысканий, в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ыполнение работ по строительству, реконструкции и (или) капитальному ремонту объектов капитального строительства, составленные в соответствии с действующими правовыми актами Министерства строительства и жилищно-коммунального хозяйства Российской Федерации,</w:t>
      </w:r>
      <w:proofErr w:type="gramEnd"/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положительное заключение государственной экспертизы в случае его готовности до внесения проекта решения о бюджете (изменений в проект решения о бюджете) в Пермскую городскую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если наличие положительного заключения государственной экспертизы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части проверки достоверности определения сметной стоимости работ является обязательным условием (при изменении цены действующего муниципального контракта), положительное заключение представляется в обязательном порядке,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проекты повторного применения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стр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оительстве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объектов (в части раздела "Смета на строительство, реконструкцию, капитальный ремонт, снос объекта капитального строительства" проектной документации),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проекты муниципальных контрактов, договоров и (или) действующие муниципальные контракты, дого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воры, сметы контрактов (проекты сметы контрактов, изменения смет контрактов),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предварительный оценочный отчет рыночной стоимости объекта недвижимого имущества,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протоколы решения комиссии по разработке и реализации инвестиционных проектов о целесообразности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осуществления капитальных вложений в объекты муниципальной собственности города Перми; одобрении сметной стоимости строительства (реконструкции) или стоимости приобретения объекта муниципальной собственности города Перми; одобрении технико-экономических п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оказателей и функциональных параметров объекта муниципальной собственности города Перми; возможности предоставления бюджетных ассигнований на осуществление капитальных вложений в объекты муниципальной собственности города Перми;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одобрении срока осуществлен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ия капитальных вложений в объект муниципальной собственности города Перми; изменении сметной стоимости строительства (реконструкции) или стоимости приобретения объекта муниципальной собственности города Перми; изменении срока осуществления капитальных влож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ений в объект муниципальной собственности города Перми; изменении технико-экономических показателей и функциональных параметров объекта муниципальной собственности города Перми; приостановлении (невозможности приостановления) осуществления капитальных влож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ений в объект муниципальной собственности города Перми;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возобновлении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(невозможности возобновления) осуществления капитальных вложений в объект муниципальной собственности.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 стоимости, указанные в абзацах 2, 3, 5 настоящего пункта, должны быть подпи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саны (утверждены) руководителем муниципального заказчика и (или) согласованы руководителем функционального органа администрации города Перми, являющимся главным распорядителем бюджетных средств.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2.2.5. При планировании бюджетных ассигнований на уплату взно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сов на капитальный ремонт общего имущества в многоквартирных домах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выписку из реестра муниципального имущества города Перми о встроенных нежилых помещениях, закрепленных на праве оператив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ного управления за муниципальными учреждениями в разрезе объектов планирования.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2.2.6. При планировании бюджетных ассигнований на уплату земельного налога, на уплату налога на имущество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выписку из реестра муниципального (государственного) имущества о земельных участках, переданных в постоянное (бессрочное) пользование муниципальным учреждениям в разрезе объектов планирования,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распоряжения департамента земельных отношен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ий администрации г. Перми о предварительном согласовании предоставления земельного участка муниципальным учреждениям (при планировании бюджетных ассигнований на плановый период),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изменения системы налогообложения (введения новых объектов налогообл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ожения) представляются подтверждающие расчеты. При введении новых объектов налогообложения расчеты производятся по объектам-аналогам.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2.2.7. При планировании бюджетных ассигнований на организацию и проведение мероприятий главные распорядители (распорядител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планы мероприятий, сод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ержащие информацию об организаторе мероприятия, периоде и месте проведения мероприятий; предварительные сметы расходов на их проведение или сметы за отчетный период или сметы на текущий финансовый год или муниципальные контракты, договоры, счета на оплату,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проекты календарных планов физкультурных мероприятий и спортивных мероприятий города Перми и территориальных органов администрации города Перми.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2.2.8. При планировании расходов на оплату труда и начисления на выплаты по оплате труда главные распорядители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 фонда оплаты труда и начислений на выплаты по оплате труда,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 штатного расписания;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2.2.9. При планировании бюджетных ассигнований на проведение закупок товаров, работ, услуг д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ля обеспечения муниципальных нужд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расчеты, произведенные с учетом анализа рынка.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 производятся на основании действующих муниципальных контрактов, договоров, коммерческих предложени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й и/или на основании информации о ценах на идентичные товары, работы, услуги. К расчетам прилагаются документы, на основании которых произведены расчеты (не менее 3 источников ценовой информации и в ценах не более полугода, предшествующим изменениям).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2.3.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планировании расходов на содержание и ремонт объектов муниципальной собственности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сводные и локальные сметные расчеты на содержание объектов муниципальной собств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енности, перечни объектов, действующие муниципальные контракты, договоры,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протоколы заседаний комиссий по отбору и ранжированию объектов муниципальной собственности города Перми,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предварительные сводные и локальные сметные расчеты в актуальных ценах - на п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роектно-изыскательские работы, на проведение текущих и капитальных ремонтов, подписанные руководителем соответствующего муниципального учреждения, руководителем функционального органа и согласованные заказчиком, либо сводные и локальные сметные расчеты, ут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вержденные руководителем соответствующего муниципального учреждения, руководителем функционального органа и согласованные заказчиком;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объектов социальной сферы вышеуказанные документы должны быть согласованы с МКУ "АХССО" г. Перми, за исключением объек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тов культурного наследия, или действующие муниципальные контракты, договоры,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обоснование цены материалов (оборудования), включенных в локальные сметные расчеты на основании прайс-листов, коммерческих предложений с приложением не менее трех ценовых информац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ий,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заключение о достоверности определения сметной стоимости капитального ремонта объектов (при наличии),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 предельного объема средств, необходимого для оснащения оборудованием вновь созданных мест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 в образовательных учреждениях,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выписк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у из реестра муниципального имущества города Перми о недвижимом имуществе, закрепленном на праве оперативного управления за муниципальными учреждениями в разрезе объектов планирования,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обоснование необходимости возведения модульных (сборных, некапитальных) сооружений, расчеты стоимости производства работ с учетом анализа рынка на основании информации на идентичные работы и материалы, правоустанавливающие документы на земельный участок.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.4. При планировании расходов на социальное обеспечение населения (публичные (публичные нормативные) обязательства, стипендии, премии и гранты) главные распорядители (распорядители) бюджетных сре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едставляют следующие документы: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 из информац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ионной системы персональных данных "База данных </w:t>
      </w:r>
      <w:proofErr w:type="spell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льготополучателей</w:t>
      </w:r>
      <w:proofErr w:type="spell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bookmarkStart w:id="1" w:name="undefined"/>
      <w:bookmarkEnd w:id="1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 о количестве получаемых льгот с указанием их наименований, с учетом изменения численности получателей.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2.5. При внесении изменений в бюджет города на текущий финансовый год и пла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новый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</w:t>
      </w:r>
      <w:proofErr w:type="gramEnd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главные распорядители (распорядители) бюджетных средств представляют документы в соответствии с пунктами 2.2 - 2.4 при наличии соответствующих расходов.</w:t>
      </w:r>
    </w:p>
    <w:p w:rsidR="00A64EED" w:rsidRPr="00A117B6" w:rsidRDefault="00A117B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lang w:val="ru-RU"/>
        </w:rPr>
      </w:pP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2.6. </w:t>
      </w:r>
      <w:proofErr w:type="gramStart"/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Подтверждающие расчеты не представляются, если изменения в решение о бюджете на текущ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ий финансовый год и плановый период, предполагающие уменьшение бюджетных ассигнований по отдельным направлениям расходования бюджетных средств, связаны с экономией, сложившейся по результатам определения поставщика (подрядчика, исполнителя) в соответствии </w:t>
      </w:r>
      <w:r w:rsidRPr="00A117B6">
        <w:rPr>
          <w:rFonts w:ascii="Times New Roman" w:eastAsia="Times New Roman" w:hAnsi="Times New Roman" w:cs="Times New Roman"/>
          <w:sz w:val="28"/>
          <w:szCs w:val="28"/>
          <w:lang w:val="ru-RU"/>
        </w:rPr>
        <w:t>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A64EED" w:rsidRDefault="00A64EED">
      <w:pPr>
        <w:ind w:firstLine="567"/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p w:rsidR="00A64EED" w:rsidRDefault="00A64EED">
      <w:pPr>
        <w:jc w:val="both"/>
        <w:rPr>
          <w:sz w:val="28"/>
          <w:szCs w:val="28"/>
        </w:rPr>
      </w:pPr>
    </w:p>
    <w:sectPr w:rsidR="00A64EED">
      <w:headerReference w:type="even" r:id="rId8"/>
      <w:headerReference w:type="default" r:id="rId9"/>
      <w:footerReference w:type="default" r:id="rId10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ED" w:rsidRDefault="00A117B6">
      <w:r>
        <w:separator/>
      </w:r>
    </w:p>
  </w:endnote>
  <w:endnote w:type="continuationSeparator" w:id="0">
    <w:p w:rsidR="00A64EED" w:rsidRDefault="00A1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Courier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D" w:rsidRDefault="00A64E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ED" w:rsidRDefault="00A117B6">
      <w:r>
        <w:separator/>
      </w:r>
    </w:p>
  </w:footnote>
  <w:footnote w:type="continuationSeparator" w:id="0">
    <w:p w:rsidR="00A64EED" w:rsidRDefault="00A11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D" w:rsidRDefault="00A117B6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64EED" w:rsidRDefault="00A64E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ED" w:rsidRDefault="00A64EED">
    <w:pPr>
      <w:pStyle w:val="ab"/>
      <w:framePr w:wrap="around" w:vAnchor="text" w:hAnchor="margin" w:xAlign="center" w:y="1"/>
      <w:rPr>
        <w:rStyle w:val="afc"/>
      </w:rPr>
    </w:pPr>
  </w:p>
  <w:p w:rsidR="00A64EED" w:rsidRDefault="00A64E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ED"/>
    <w:rsid w:val="00A117B6"/>
    <w:rsid w:val="00A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New" w:eastAsia="CourierNew" w:hAnsi="CourierNew" w:cs="CourierNew"/>
      <w:lang w:val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New" w:eastAsia="CourierNew" w:hAnsi="CourierNew" w:cs="CourierNew"/>
      <w:lang w:val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2024-10-10T13:10:00Z</dcterms:created>
  <dcterms:modified xsi:type="dcterms:W3CDTF">2024-10-10T13:10:00Z</dcterms:modified>
  <cp:version>983040</cp:version>
</cp:coreProperties>
</file>